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宋体" w:eastAsia="黑体" w:cs="AdobeSongStd-Light"/>
          <w:color w:val="000000"/>
          <w:kern w:val="0"/>
          <w:sz w:val="32"/>
          <w:szCs w:val="32"/>
        </w:rPr>
      </w:pPr>
      <w:bookmarkStart w:id="2" w:name="_GoBack"/>
      <w:bookmarkEnd w:id="2"/>
      <w:r>
        <w:rPr>
          <w:rFonts w:hint="eastAsia" w:ascii="黑体" w:hAnsi="宋体" w:eastAsia="黑体" w:cs="AdobeSongStd-Light"/>
          <w:color w:val="000000"/>
          <w:kern w:val="0"/>
          <w:sz w:val="32"/>
          <w:szCs w:val="32"/>
        </w:rPr>
        <w:t>附件</w:t>
      </w:r>
      <w:r>
        <w:rPr>
          <w:rFonts w:ascii="黑体" w:hAnsi="宋体" w:eastAsia="黑体" w:cs="AdobeSongStd-Light"/>
          <w:color w:val="000000"/>
          <w:kern w:val="0"/>
          <w:sz w:val="32"/>
          <w:szCs w:val="32"/>
        </w:rPr>
        <w:t>1</w:t>
      </w:r>
    </w:p>
    <w:p>
      <w:pPr>
        <w:spacing w:line="581" w:lineRule="exact"/>
        <w:rPr>
          <w:rFonts w:eastAsia="仿宋_GB2312"/>
          <w:color w:val="000000"/>
          <w:sz w:val="30"/>
        </w:rPr>
      </w:pPr>
    </w:p>
    <w:p>
      <w:pPr>
        <w:spacing w:line="581" w:lineRule="exact"/>
        <w:jc w:val="center"/>
        <w:rPr>
          <w:rFonts w:ascii="黑体" w:hAnsi="黑体" w:eastAsia="黑体" w:cs="宋体"/>
          <w:bCs/>
          <w:kern w:val="0"/>
          <w:sz w:val="36"/>
          <w:szCs w:val="36"/>
        </w:rPr>
      </w:pPr>
      <w:r>
        <w:rPr>
          <w:rFonts w:ascii="黑体" w:hAnsi="黑体" w:eastAsia="黑体" w:cs="宋体"/>
          <w:bCs/>
          <w:kern w:val="0"/>
          <w:sz w:val="36"/>
          <w:szCs w:val="36"/>
        </w:rPr>
        <w:t>2021</w:t>
      </w:r>
      <w:r>
        <w:rPr>
          <w:rFonts w:hint="eastAsia" w:ascii="黑体" w:hAnsi="黑体" w:eastAsia="黑体" w:cs="宋体"/>
          <w:bCs/>
          <w:kern w:val="0"/>
          <w:sz w:val="36"/>
          <w:szCs w:val="36"/>
        </w:rPr>
        <w:t>年水生生物资源养护工作总结提纲</w:t>
      </w:r>
    </w:p>
    <w:p>
      <w:pPr>
        <w:spacing w:line="581" w:lineRule="exact"/>
        <w:ind w:firstLine="640" w:firstLineChars="200"/>
        <w:rPr>
          <w:rFonts w:ascii="黑体" w:hAnsi="黑体" w:eastAsia="黑体"/>
          <w:color w:val="000000"/>
          <w:sz w:val="32"/>
          <w:szCs w:val="32"/>
          <w:lang w:val="nb-NO"/>
        </w:rPr>
      </w:pPr>
    </w:p>
    <w:p>
      <w:pPr>
        <w:spacing w:line="581" w:lineRule="exact"/>
        <w:ind w:firstLine="640" w:firstLineChars="200"/>
        <w:rPr>
          <w:rFonts w:ascii="黑体" w:hAnsi="黑体" w:eastAsia="黑体"/>
          <w:color w:val="000000"/>
          <w:sz w:val="32"/>
          <w:szCs w:val="32"/>
          <w:lang w:val="nb-NO"/>
        </w:rPr>
      </w:pPr>
      <w:r>
        <w:rPr>
          <w:rFonts w:hint="eastAsia" w:ascii="黑体" w:hAnsi="黑体" w:eastAsia="黑体"/>
          <w:color w:val="000000"/>
          <w:sz w:val="32"/>
          <w:szCs w:val="32"/>
          <w:lang w:val="nb-NO"/>
        </w:rPr>
        <w:t>一、概述</w:t>
      </w:r>
    </w:p>
    <w:p>
      <w:pPr>
        <w:spacing w:line="581" w:lineRule="exact"/>
        <w:ind w:firstLine="640" w:firstLineChars="200"/>
        <w:rPr>
          <w:rFonts w:ascii="仿宋_GB2312" w:hAnsi="宋体" w:eastAsia="仿宋_GB2312"/>
          <w:color w:val="000000"/>
          <w:sz w:val="32"/>
          <w:szCs w:val="32"/>
          <w:lang w:val="nb-NO"/>
        </w:rPr>
      </w:pPr>
      <w:r>
        <w:rPr>
          <w:rFonts w:hint="eastAsia" w:ascii="仿宋_GB2312" w:hAnsi="宋体" w:eastAsia="仿宋_GB2312"/>
          <w:color w:val="000000"/>
          <w:sz w:val="32"/>
          <w:szCs w:val="32"/>
          <w:lang w:val="nb-NO"/>
        </w:rPr>
        <w:t>贯彻落实《中国水生生物资源养护行动纲要》的重大行动或举措；水生生物资源养护的重要情况、问题及对策；重要保护管理制度等落实情况。</w:t>
      </w:r>
    </w:p>
    <w:p>
      <w:pPr>
        <w:spacing w:line="581" w:lineRule="exact"/>
        <w:ind w:firstLine="640" w:firstLineChars="200"/>
        <w:rPr>
          <w:rFonts w:ascii="黑体" w:hAnsi="黑体" w:eastAsia="黑体"/>
          <w:color w:val="000000"/>
          <w:sz w:val="32"/>
          <w:szCs w:val="32"/>
          <w:lang w:val="nb-NO"/>
        </w:rPr>
      </w:pPr>
      <w:r>
        <w:rPr>
          <w:rFonts w:hint="eastAsia" w:ascii="黑体" w:hAnsi="黑体" w:eastAsia="黑体"/>
          <w:color w:val="000000"/>
          <w:sz w:val="32"/>
          <w:szCs w:val="32"/>
          <w:lang w:val="nb-NO"/>
        </w:rPr>
        <w:t>二、渔业资源保护与增殖</w:t>
      </w:r>
    </w:p>
    <w:p>
      <w:pPr>
        <w:spacing w:line="581" w:lineRule="exact"/>
        <w:ind w:firstLine="643" w:firstLineChars="200"/>
        <w:rPr>
          <w:rFonts w:ascii="仿宋_GB2312" w:hAnsi="宋体" w:eastAsia="仿宋_GB2312"/>
          <w:b/>
          <w:color w:val="000000"/>
          <w:sz w:val="32"/>
          <w:szCs w:val="32"/>
          <w:lang w:val="nb-NO"/>
        </w:rPr>
      </w:pPr>
      <w:r>
        <w:rPr>
          <w:rFonts w:hint="eastAsia" w:ascii="仿宋_GB2312" w:hAnsi="宋体" w:eastAsia="仿宋_GB2312"/>
          <w:b/>
          <w:color w:val="000000"/>
          <w:sz w:val="32"/>
          <w:szCs w:val="32"/>
          <w:lang w:val="nb-NO"/>
        </w:rPr>
        <w:t>（一）水生生物资源增殖放流</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海洋生物资源增殖放流情况；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2.</w:t>
      </w:r>
      <w:r>
        <w:rPr>
          <w:rFonts w:hint="eastAsia" w:ascii="仿宋_GB2312" w:hAnsi="宋体" w:eastAsia="仿宋_GB2312"/>
          <w:color w:val="000000"/>
          <w:sz w:val="32"/>
          <w:szCs w:val="32"/>
          <w:lang w:val="nb-NO"/>
        </w:rPr>
        <w:t>淡水生物资源增殖放流情况；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3.</w:t>
      </w:r>
      <w:r>
        <w:rPr>
          <w:rFonts w:hint="eastAsia" w:ascii="仿宋_GB2312" w:hAnsi="宋体" w:eastAsia="仿宋_GB2312"/>
          <w:color w:val="000000"/>
          <w:sz w:val="32"/>
          <w:szCs w:val="32"/>
          <w:lang w:val="nb-NO"/>
        </w:rPr>
        <w:t>珍稀濒危水生野生动物增殖放流情况；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4.</w:t>
      </w:r>
      <w:r>
        <w:rPr>
          <w:rFonts w:hint="eastAsia" w:ascii="仿宋_GB2312" w:hAnsi="宋体" w:eastAsia="仿宋_GB2312"/>
          <w:color w:val="000000"/>
          <w:sz w:val="32"/>
          <w:szCs w:val="32"/>
          <w:lang w:val="nb-NO"/>
        </w:rPr>
        <w:t>增殖放流效果评估情况；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5.</w:t>
      </w:r>
      <w:r>
        <w:rPr>
          <w:rFonts w:hint="eastAsia" w:ascii="仿宋_GB2312" w:hAnsi="宋体" w:eastAsia="仿宋_GB2312"/>
          <w:color w:val="000000"/>
          <w:sz w:val="32"/>
          <w:szCs w:val="32"/>
          <w:lang w:val="nb-NO"/>
        </w:rPr>
        <w:t>增殖放流规范管理情况；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6.</w:t>
      </w:r>
      <w:r>
        <w:rPr>
          <w:rFonts w:hint="eastAsia" w:ascii="仿宋_GB2312" w:hAnsi="宋体" w:eastAsia="仿宋_GB2312"/>
          <w:color w:val="000000"/>
          <w:sz w:val="32"/>
          <w:szCs w:val="32"/>
          <w:lang w:val="nb-NO"/>
        </w:rPr>
        <w:t>上年度（含结转在本年度）中央财政增殖放流项目执行情况，包括项目资金及放流数量；</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7.</w:t>
      </w:r>
      <w:r>
        <w:rPr>
          <w:rFonts w:hint="eastAsia" w:ascii="仿宋_GB2312" w:hAnsi="宋体" w:eastAsia="仿宋_GB2312"/>
          <w:color w:val="000000"/>
          <w:sz w:val="32"/>
          <w:szCs w:val="32"/>
          <w:lang w:val="nb-NO"/>
        </w:rPr>
        <w:t>本年度中央财政增殖放流项目执行情况，包括项目资金及放流数量（</w:t>
      </w:r>
      <w:r>
        <w:rPr>
          <w:rFonts w:hint="eastAsia" w:ascii="仿宋_GB2312" w:hAnsi="宋体" w:eastAsia="仿宋_GB2312"/>
          <w:b/>
          <w:color w:val="000000"/>
          <w:sz w:val="32"/>
          <w:szCs w:val="32"/>
          <w:lang w:val="nb-NO"/>
        </w:rPr>
        <w:t>本部分文字内容请与附件</w:t>
      </w:r>
      <w:r>
        <w:rPr>
          <w:rFonts w:ascii="仿宋_GB2312" w:hAnsi="宋体" w:eastAsia="仿宋_GB2312"/>
          <w:b/>
          <w:color w:val="000000"/>
          <w:sz w:val="32"/>
          <w:szCs w:val="32"/>
          <w:lang w:val="nb-NO"/>
        </w:rPr>
        <w:t>2</w:t>
      </w:r>
      <w:r>
        <w:rPr>
          <w:rFonts w:hint="eastAsia" w:ascii="仿宋_GB2312" w:hAnsi="宋体" w:eastAsia="仿宋_GB2312"/>
          <w:b/>
          <w:color w:val="000000"/>
          <w:sz w:val="32"/>
          <w:szCs w:val="32"/>
          <w:lang w:val="nb-NO"/>
        </w:rPr>
        <w:t>统计表</w:t>
      </w:r>
      <w:r>
        <w:rPr>
          <w:rFonts w:ascii="仿宋_GB2312" w:hAnsi="宋体" w:eastAsia="仿宋_GB2312"/>
          <w:b/>
          <w:color w:val="000000"/>
          <w:sz w:val="32"/>
          <w:szCs w:val="32"/>
          <w:lang w:val="nb-NO"/>
        </w:rPr>
        <w:t>2-1</w:t>
      </w:r>
      <w:r>
        <w:rPr>
          <w:rFonts w:hint="eastAsia" w:ascii="仿宋_GB2312" w:hAnsi="宋体" w:eastAsia="仿宋_GB2312"/>
          <w:b/>
          <w:color w:val="000000"/>
          <w:sz w:val="32"/>
          <w:szCs w:val="32"/>
          <w:lang w:val="nb-NO"/>
        </w:rPr>
        <w:t>中填写数据保持一致，请务必认真如实总结该项情况，</w:t>
      </w:r>
      <w:r>
        <w:rPr>
          <w:rFonts w:ascii="仿宋_GB2312" w:hAnsi="宋体" w:eastAsia="仿宋_GB2312"/>
          <w:b/>
          <w:color w:val="000000"/>
          <w:sz w:val="32"/>
          <w:szCs w:val="32"/>
          <w:lang w:val="nb-NO"/>
        </w:rPr>
        <w:t>2021</w:t>
      </w:r>
      <w:r>
        <w:rPr>
          <w:rFonts w:hint="eastAsia" w:ascii="仿宋_GB2312" w:hAnsi="宋体" w:eastAsia="仿宋_GB2312"/>
          <w:b/>
          <w:color w:val="000000"/>
          <w:sz w:val="32"/>
          <w:szCs w:val="32"/>
          <w:lang w:val="nb-NO"/>
        </w:rPr>
        <w:t>年项目执行情况将作为</w:t>
      </w:r>
      <w:r>
        <w:rPr>
          <w:rFonts w:ascii="仿宋_GB2312" w:hAnsi="宋体" w:eastAsia="仿宋_GB2312"/>
          <w:b/>
          <w:color w:val="000000"/>
          <w:sz w:val="32"/>
          <w:szCs w:val="32"/>
          <w:lang w:val="nb-NO"/>
        </w:rPr>
        <w:t>2022</w:t>
      </w:r>
      <w:r>
        <w:rPr>
          <w:rFonts w:hint="eastAsia" w:ascii="仿宋_GB2312" w:hAnsi="宋体" w:eastAsia="仿宋_GB2312"/>
          <w:b/>
          <w:color w:val="000000"/>
          <w:sz w:val="32"/>
          <w:szCs w:val="32"/>
          <w:lang w:val="nb-NO"/>
        </w:rPr>
        <w:t>年中央财政增殖放流项目资金分配、绩效目标核定的重要依据。</w:t>
      </w:r>
      <w:r>
        <w:rPr>
          <w:rFonts w:hint="eastAsia" w:ascii="仿宋_GB2312" w:hAnsi="宋体" w:eastAsia="仿宋_GB2312"/>
          <w:color w:val="000000"/>
          <w:sz w:val="32"/>
          <w:szCs w:val="32"/>
          <w:lang w:val="nb-NO"/>
        </w:rPr>
        <w:t>注意：项目资金仅包括中央财政农业资源及生态保护补助项目增殖放流资金，不包括中央财政渔业油价补贴项目中各地自行统筹用于增殖放流的资金，此部分资金在省级投入资金中统计）。</w:t>
      </w:r>
    </w:p>
    <w:p>
      <w:pPr>
        <w:spacing w:line="581" w:lineRule="exact"/>
        <w:ind w:firstLine="643" w:firstLineChars="200"/>
        <w:rPr>
          <w:rFonts w:ascii="仿宋_GB2312" w:hAnsi="宋体" w:eastAsia="仿宋_GB2312"/>
          <w:b/>
          <w:color w:val="000000"/>
          <w:sz w:val="32"/>
          <w:szCs w:val="32"/>
          <w:lang w:val="nb-NO"/>
        </w:rPr>
      </w:pPr>
      <w:r>
        <w:rPr>
          <w:rFonts w:hint="eastAsia" w:ascii="仿宋_GB2312" w:hAnsi="宋体" w:eastAsia="仿宋_GB2312"/>
          <w:b/>
          <w:color w:val="000000"/>
          <w:sz w:val="32"/>
          <w:szCs w:val="32"/>
          <w:lang w:val="nb-NO"/>
        </w:rPr>
        <w:t>（二）海洋牧场建设</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海洋牧场建设情况；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2.</w:t>
      </w:r>
      <w:r>
        <w:rPr>
          <w:rFonts w:hint="eastAsia" w:ascii="仿宋_GB2312" w:hAnsi="宋体" w:eastAsia="仿宋_GB2312"/>
          <w:color w:val="000000"/>
          <w:sz w:val="32"/>
          <w:szCs w:val="32"/>
          <w:lang w:val="nb-NO"/>
        </w:rPr>
        <w:t>海洋牧场管理情况；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3.</w:t>
      </w:r>
      <w:r>
        <w:rPr>
          <w:rFonts w:hint="eastAsia" w:ascii="仿宋_GB2312" w:hAnsi="宋体" w:eastAsia="仿宋_GB2312"/>
          <w:color w:val="000000"/>
          <w:sz w:val="32"/>
          <w:szCs w:val="32"/>
          <w:lang w:val="nb-NO"/>
        </w:rPr>
        <w:t>取得成效。</w:t>
      </w:r>
    </w:p>
    <w:p>
      <w:pPr>
        <w:spacing w:line="581" w:lineRule="exact"/>
        <w:ind w:firstLine="643" w:firstLineChars="200"/>
        <w:rPr>
          <w:rFonts w:ascii="仿宋_GB2312" w:hAnsi="宋体" w:eastAsia="仿宋_GB2312"/>
          <w:b/>
          <w:color w:val="000000"/>
          <w:sz w:val="32"/>
          <w:szCs w:val="32"/>
          <w:lang w:val="nb-NO"/>
        </w:rPr>
      </w:pPr>
      <w:r>
        <w:rPr>
          <w:rFonts w:hint="eastAsia" w:ascii="仿宋_GB2312" w:hAnsi="宋体" w:eastAsia="仿宋_GB2312"/>
          <w:b/>
          <w:color w:val="000000"/>
          <w:sz w:val="32"/>
          <w:szCs w:val="32"/>
          <w:lang w:val="nb-NO"/>
        </w:rPr>
        <w:t>（三）渔业资源保护制度</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海洋渔业资源总量管理制度执行以及限额捕捞试点工作开展情况；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2.</w:t>
      </w:r>
      <w:r>
        <w:rPr>
          <w:rFonts w:hint="eastAsia" w:ascii="仿宋_GB2312" w:hAnsi="宋体" w:eastAsia="仿宋_GB2312"/>
          <w:color w:val="000000"/>
          <w:sz w:val="32"/>
          <w:szCs w:val="32"/>
          <w:lang w:val="nb-NO"/>
        </w:rPr>
        <w:t>海洋伏季休渔制度执行情况及相关效果；</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3.长江十年禁捕以及其他内陆水域</w:t>
      </w:r>
      <w:r>
        <w:rPr>
          <w:rFonts w:hint="eastAsia" w:ascii="仿宋_GB2312" w:hAnsi="宋体" w:eastAsia="仿宋_GB2312"/>
          <w:color w:val="000000"/>
          <w:sz w:val="32"/>
          <w:szCs w:val="32"/>
          <w:lang w:val="nb-NO"/>
        </w:rPr>
        <w:t>禁渔期制度执行情况及相关效果；</w:t>
      </w:r>
    </w:p>
    <w:p>
      <w:pPr>
        <w:spacing w:line="581" w:lineRule="exact"/>
        <w:ind w:firstLine="640" w:firstLineChars="200"/>
        <w:rPr>
          <w:rFonts w:ascii="仿宋_GB2312" w:hAnsi="宋体" w:eastAsia="仿宋_GB2312"/>
          <w:color w:val="000000"/>
          <w:sz w:val="32"/>
          <w:szCs w:val="32"/>
          <w:lang w:val="nb-NO"/>
        </w:rPr>
      </w:pPr>
      <w:r>
        <w:rPr>
          <w:rFonts w:hint="eastAsia" w:ascii="仿宋_GB2312" w:hAnsi="宋体" w:eastAsia="仿宋_GB2312"/>
          <w:color w:val="000000"/>
          <w:sz w:val="32"/>
          <w:szCs w:val="32"/>
          <w:lang w:val="nb-NO"/>
        </w:rPr>
        <w:t>4</w:t>
      </w:r>
      <w:r>
        <w:rPr>
          <w:rFonts w:ascii="仿宋_GB2312" w:hAnsi="宋体" w:eastAsia="仿宋_GB2312"/>
          <w:color w:val="000000"/>
          <w:sz w:val="32"/>
          <w:szCs w:val="32"/>
          <w:lang w:val="nb-NO"/>
        </w:rPr>
        <w:t>.</w:t>
      </w:r>
      <w:r>
        <w:rPr>
          <w:rFonts w:hint="eastAsia" w:ascii="仿宋_GB2312" w:hAnsi="宋体" w:eastAsia="仿宋_GB2312"/>
          <w:color w:val="000000"/>
          <w:sz w:val="32"/>
          <w:szCs w:val="32"/>
          <w:lang w:val="nb-NO"/>
        </w:rPr>
        <w:t>幼鱼保护相关工作；</w:t>
      </w:r>
    </w:p>
    <w:p>
      <w:pPr>
        <w:spacing w:line="581" w:lineRule="exact"/>
        <w:ind w:firstLine="640" w:firstLineChars="200"/>
        <w:rPr>
          <w:rFonts w:ascii="仿宋_GB2312" w:hAnsi="宋体" w:eastAsia="仿宋_GB2312"/>
          <w:color w:val="000000"/>
          <w:sz w:val="32"/>
          <w:szCs w:val="32"/>
          <w:lang w:val="nb-NO"/>
        </w:rPr>
      </w:pPr>
      <w:r>
        <w:rPr>
          <w:rFonts w:hint="eastAsia" w:ascii="仿宋_GB2312" w:hAnsi="宋体" w:eastAsia="仿宋_GB2312"/>
          <w:color w:val="000000"/>
          <w:sz w:val="32"/>
          <w:szCs w:val="32"/>
          <w:lang w:val="nb-NO"/>
        </w:rPr>
        <w:t>5</w:t>
      </w:r>
      <w:r>
        <w:rPr>
          <w:rFonts w:ascii="仿宋_GB2312" w:hAnsi="宋体" w:eastAsia="仿宋_GB2312"/>
          <w:color w:val="000000"/>
          <w:sz w:val="32"/>
          <w:szCs w:val="32"/>
          <w:lang w:val="nb-NO"/>
        </w:rPr>
        <w:t>.</w:t>
      </w:r>
      <w:r>
        <w:rPr>
          <w:rFonts w:hint="eastAsia" w:ascii="仿宋_GB2312" w:hAnsi="宋体" w:eastAsia="仿宋_GB2312"/>
          <w:color w:val="000000"/>
          <w:sz w:val="32"/>
          <w:szCs w:val="32"/>
          <w:lang w:val="nb-NO"/>
        </w:rPr>
        <w:t>其他渔业资源保护工作。</w:t>
      </w:r>
    </w:p>
    <w:p>
      <w:pPr>
        <w:spacing w:line="581" w:lineRule="exact"/>
        <w:ind w:firstLine="643" w:firstLineChars="200"/>
        <w:rPr>
          <w:rFonts w:ascii="仿宋_GB2312" w:hAnsi="宋体" w:eastAsia="仿宋_GB2312"/>
          <w:b/>
          <w:color w:val="000000"/>
          <w:sz w:val="32"/>
          <w:szCs w:val="32"/>
          <w:lang w:val="nb-NO"/>
        </w:rPr>
      </w:pPr>
      <w:r>
        <w:rPr>
          <w:rFonts w:hint="eastAsia" w:ascii="仿宋_GB2312" w:hAnsi="宋体" w:eastAsia="仿宋_GB2312"/>
          <w:b/>
          <w:color w:val="000000"/>
          <w:sz w:val="32"/>
          <w:szCs w:val="32"/>
          <w:lang w:val="nb-NO"/>
        </w:rPr>
        <w:t>（四）水产种质资源保护区</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国家级水产种质资源保护区调整变更情况；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2.</w:t>
      </w:r>
      <w:r>
        <w:rPr>
          <w:rFonts w:hint="eastAsia" w:ascii="仿宋_GB2312" w:hAnsi="宋体" w:eastAsia="仿宋_GB2312"/>
          <w:color w:val="000000"/>
          <w:sz w:val="32"/>
          <w:szCs w:val="32"/>
          <w:lang w:val="nb-NO"/>
        </w:rPr>
        <w:t>开展保护区基础设施建设、资源调查、保护区内执法等工作情况；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3.</w:t>
      </w:r>
      <w:r>
        <w:rPr>
          <w:rFonts w:hint="eastAsia" w:ascii="仿宋_GB2312" w:hAnsi="宋体" w:eastAsia="仿宋_GB2312"/>
          <w:color w:val="000000"/>
          <w:sz w:val="32"/>
          <w:szCs w:val="32"/>
          <w:lang w:val="nb-NO"/>
        </w:rPr>
        <w:t>保护成效。</w:t>
      </w:r>
    </w:p>
    <w:p>
      <w:pPr>
        <w:spacing w:line="581" w:lineRule="exact"/>
        <w:ind w:firstLine="640" w:firstLineChars="200"/>
        <w:rPr>
          <w:rFonts w:ascii="黑体" w:hAnsi="黑体" w:eastAsia="黑体"/>
          <w:color w:val="000000"/>
          <w:sz w:val="32"/>
          <w:szCs w:val="32"/>
          <w:lang w:val="nb-NO"/>
        </w:rPr>
      </w:pPr>
      <w:r>
        <w:rPr>
          <w:rFonts w:hint="eastAsia" w:ascii="黑体" w:hAnsi="黑体" w:eastAsia="黑体"/>
          <w:color w:val="000000"/>
          <w:sz w:val="32"/>
          <w:szCs w:val="32"/>
          <w:lang w:val="nb-NO"/>
        </w:rPr>
        <w:t>三、生物多样性与濒危物种保护</w:t>
      </w:r>
    </w:p>
    <w:p>
      <w:pPr>
        <w:spacing w:line="581" w:lineRule="exact"/>
        <w:ind w:firstLine="643" w:firstLineChars="200"/>
        <w:rPr>
          <w:rFonts w:ascii="仿宋_GB2312" w:hAnsi="宋体" w:eastAsia="仿宋_GB2312"/>
          <w:b/>
          <w:color w:val="000000"/>
          <w:sz w:val="32"/>
          <w:szCs w:val="32"/>
          <w:lang w:val="nb-NO"/>
        </w:rPr>
      </w:pPr>
      <w:r>
        <w:rPr>
          <w:rFonts w:hint="eastAsia" w:ascii="仿宋_GB2312" w:hAnsi="宋体" w:eastAsia="仿宋_GB2312"/>
          <w:b/>
          <w:color w:val="000000"/>
          <w:sz w:val="32"/>
          <w:szCs w:val="32"/>
          <w:lang w:val="nb-NO"/>
        </w:rPr>
        <w:t>（一）水生野生动物重要栖息地建设管理</w:t>
      </w:r>
    </w:p>
    <w:p>
      <w:pPr>
        <w:spacing w:line="581" w:lineRule="exact"/>
        <w:ind w:firstLine="640" w:firstLineChars="200"/>
        <w:rPr>
          <w:rFonts w:ascii="仿宋_GB2312" w:hAnsi="宋体" w:eastAsia="仿宋_GB2312"/>
          <w:color w:val="000000"/>
          <w:sz w:val="32"/>
          <w:szCs w:val="32"/>
          <w:lang w:val="nb-NO"/>
        </w:rPr>
      </w:pPr>
      <w:r>
        <w:rPr>
          <w:rFonts w:hint="eastAsia" w:ascii="仿宋_GB2312" w:hAnsi="宋体" w:eastAsia="仿宋_GB2312"/>
          <w:color w:val="000000"/>
          <w:sz w:val="32"/>
          <w:szCs w:val="32"/>
          <w:lang w:val="nb-NO"/>
        </w:rPr>
        <w:t>1.水生野生动物重要栖息地设立和调整情况；</w:t>
      </w:r>
    </w:p>
    <w:p>
      <w:pPr>
        <w:spacing w:line="581" w:lineRule="exact"/>
        <w:ind w:firstLine="640" w:firstLineChars="200"/>
        <w:rPr>
          <w:rFonts w:ascii="仿宋_GB2312" w:hAnsi="宋体" w:eastAsia="仿宋_GB2312"/>
          <w:color w:val="000000"/>
          <w:sz w:val="32"/>
          <w:szCs w:val="32"/>
          <w:lang w:val="nb-NO"/>
        </w:rPr>
      </w:pPr>
      <w:r>
        <w:rPr>
          <w:rFonts w:hint="eastAsia" w:ascii="仿宋_GB2312" w:hAnsi="宋体" w:eastAsia="仿宋_GB2312"/>
          <w:color w:val="000000"/>
          <w:sz w:val="32"/>
          <w:szCs w:val="32"/>
          <w:lang w:val="nb-NO"/>
        </w:rPr>
        <w:t>2.水生野生动植物资源调查情况。</w:t>
      </w:r>
    </w:p>
    <w:p>
      <w:pPr>
        <w:spacing w:line="581" w:lineRule="exact"/>
        <w:ind w:firstLine="643" w:firstLineChars="200"/>
        <w:rPr>
          <w:rFonts w:ascii="仿宋_GB2312" w:hAnsi="宋体" w:eastAsia="仿宋_GB2312"/>
          <w:b/>
          <w:color w:val="000000"/>
          <w:sz w:val="32"/>
          <w:szCs w:val="32"/>
          <w:lang w:val="nb-NO"/>
        </w:rPr>
      </w:pPr>
      <w:r>
        <w:rPr>
          <w:rFonts w:hint="eastAsia" w:ascii="仿宋_GB2312" w:hAnsi="宋体" w:eastAsia="仿宋_GB2312"/>
          <w:b/>
          <w:color w:val="000000"/>
          <w:sz w:val="32"/>
          <w:szCs w:val="32"/>
          <w:lang w:val="nb-NO"/>
        </w:rPr>
        <w:t>（二）濒危物种救护和驯养繁育</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濒危物种专项救护和迁地保护情况；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2.</w:t>
      </w:r>
      <w:r>
        <w:rPr>
          <w:rFonts w:hint="eastAsia" w:ascii="仿宋_GB2312" w:hAnsi="宋体" w:eastAsia="仿宋_GB2312"/>
          <w:color w:val="000000"/>
          <w:sz w:val="32"/>
          <w:szCs w:val="32"/>
          <w:lang w:val="nb-NO"/>
        </w:rPr>
        <w:t>濒危物种繁育技术攻关及规模化生产情况和基地建设情况。</w:t>
      </w:r>
    </w:p>
    <w:p>
      <w:pPr>
        <w:spacing w:line="581" w:lineRule="exact"/>
        <w:ind w:firstLine="643" w:firstLineChars="200"/>
        <w:rPr>
          <w:rFonts w:ascii="仿宋_GB2312" w:hAnsi="宋体" w:eastAsia="仿宋_GB2312"/>
          <w:b/>
          <w:color w:val="000000"/>
          <w:sz w:val="32"/>
          <w:szCs w:val="32"/>
          <w:lang w:val="nb-NO"/>
        </w:rPr>
      </w:pPr>
      <w:r>
        <w:rPr>
          <w:rFonts w:hint="eastAsia" w:ascii="仿宋_GB2312" w:hAnsi="宋体" w:eastAsia="仿宋_GB2312"/>
          <w:b/>
          <w:color w:val="000000"/>
          <w:sz w:val="32"/>
          <w:szCs w:val="32"/>
          <w:lang w:val="nb-NO"/>
        </w:rPr>
        <w:t>（三）经营利用管理</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水生野生动物经营利用和执法监管相关情况；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2.</w:t>
      </w:r>
      <w:r>
        <w:rPr>
          <w:rFonts w:hint="eastAsia" w:ascii="仿宋_GB2312" w:hAnsi="宋体" w:eastAsia="仿宋_GB2312"/>
          <w:color w:val="000000"/>
          <w:sz w:val="32"/>
          <w:szCs w:val="32"/>
          <w:lang w:val="nb-NO"/>
        </w:rPr>
        <w:t>水生野生动物进出口审批和</w:t>
      </w:r>
      <w:r>
        <w:rPr>
          <w:rFonts w:ascii="仿宋_GB2312" w:hAnsi="宋体" w:eastAsia="仿宋_GB2312"/>
          <w:color w:val="000000"/>
          <w:sz w:val="32"/>
          <w:szCs w:val="32"/>
          <w:lang w:val="nb-NO"/>
        </w:rPr>
        <w:t>CITES</w:t>
      </w:r>
      <w:r>
        <w:rPr>
          <w:rFonts w:hint="eastAsia" w:ascii="仿宋_GB2312" w:hAnsi="宋体" w:eastAsia="仿宋_GB2312"/>
          <w:color w:val="000000"/>
          <w:sz w:val="32"/>
          <w:szCs w:val="32"/>
          <w:lang w:val="nb-NO"/>
        </w:rPr>
        <w:t>履约相关情况。</w:t>
      </w:r>
    </w:p>
    <w:p>
      <w:pPr>
        <w:spacing w:line="581" w:lineRule="exact"/>
        <w:ind w:firstLine="640" w:firstLineChars="200"/>
        <w:rPr>
          <w:rFonts w:ascii="黑体" w:hAnsi="黑体" w:eastAsia="黑体"/>
          <w:color w:val="000000"/>
          <w:sz w:val="32"/>
          <w:szCs w:val="32"/>
          <w:lang w:val="nb-NO"/>
        </w:rPr>
      </w:pPr>
      <w:r>
        <w:rPr>
          <w:rFonts w:hint="eastAsia" w:ascii="黑体" w:hAnsi="黑体" w:eastAsia="黑体"/>
          <w:color w:val="000000"/>
          <w:sz w:val="32"/>
          <w:szCs w:val="32"/>
          <w:lang w:val="nb-NO"/>
        </w:rPr>
        <w:t>四、渔业水域生态环境保护与修复</w:t>
      </w:r>
    </w:p>
    <w:p>
      <w:pPr>
        <w:spacing w:line="581" w:lineRule="exact"/>
        <w:ind w:firstLine="643" w:firstLineChars="200"/>
        <w:rPr>
          <w:rFonts w:ascii="仿宋_GB2312" w:hAnsi="宋体" w:eastAsia="仿宋_GB2312"/>
          <w:color w:val="000000"/>
          <w:sz w:val="32"/>
          <w:szCs w:val="32"/>
          <w:lang w:val="nb-NO"/>
        </w:rPr>
      </w:pPr>
      <w:r>
        <w:rPr>
          <w:rFonts w:hint="eastAsia" w:ascii="仿宋_GB2312" w:hAnsi="宋体" w:eastAsia="仿宋_GB2312"/>
          <w:b/>
          <w:color w:val="000000"/>
          <w:sz w:val="32"/>
          <w:szCs w:val="32"/>
          <w:lang w:val="nb-NO"/>
        </w:rPr>
        <w:t>（一）涉渔生态环境影响评价</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参与水利、航运等工程建设环境影响评价情况；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2.</w:t>
      </w:r>
      <w:r>
        <w:rPr>
          <w:rFonts w:hint="eastAsia" w:ascii="仿宋_GB2312" w:hAnsi="宋体" w:eastAsia="仿宋_GB2312"/>
          <w:color w:val="000000"/>
          <w:sz w:val="32"/>
          <w:szCs w:val="32"/>
          <w:lang w:val="nb-NO"/>
        </w:rPr>
        <w:t>参与海洋、海岸工程环境影响评价情况；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3.</w:t>
      </w:r>
      <w:r>
        <w:rPr>
          <w:rFonts w:hint="eastAsia" w:ascii="仿宋_GB2312" w:hAnsi="宋体" w:eastAsia="仿宋_GB2312"/>
          <w:color w:val="000000"/>
          <w:sz w:val="32"/>
          <w:szCs w:val="32"/>
          <w:lang w:val="nb-NO"/>
        </w:rPr>
        <w:t>组织开展涉自然保护区和水产种质资源保护区专题影响评价情况；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4.</w:t>
      </w:r>
      <w:r>
        <w:rPr>
          <w:rFonts w:hint="eastAsia" w:ascii="仿宋_GB2312" w:hAnsi="宋体" w:eastAsia="仿宋_GB2312"/>
          <w:color w:val="000000"/>
          <w:sz w:val="32"/>
          <w:szCs w:val="32"/>
          <w:lang w:val="nb-NO"/>
        </w:rPr>
        <w:t>生态补偿措施落实情况。</w:t>
      </w:r>
    </w:p>
    <w:p>
      <w:pPr>
        <w:spacing w:line="581" w:lineRule="exact"/>
        <w:ind w:firstLine="640" w:firstLineChars="200"/>
        <w:rPr>
          <w:rFonts w:ascii="仿宋_GB2312" w:hAnsi="宋体" w:eastAsia="仿宋_GB2312"/>
          <w:b/>
          <w:color w:val="000000"/>
          <w:sz w:val="32"/>
          <w:szCs w:val="32"/>
          <w:lang w:val="nb-NO"/>
        </w:rPr>
      </w:pPr>
      <w:r>
        <w:rPr>
          <w:rFonts w:hint="eastAsia" w:ascii="仿宋_GB2312" w:hAnsi="宋体" w:eastAsia="仿宋_GB2312"/>
          <w:color w:val="000000"/>
          <w:sz w:val="32"/>
          <w:szCs w:val="32"/>
          <w:lang w:val="nb-NO"/>
        </w:rPr>
        <w:t>（</w:t>
      </w:r>
      <w:r>
        <w:rPr>
          <w:rFonts w:hint="eastAsia" w:ascii="仿宋_GB2312" w:hAnsi="宋体" w:eastAsia="仿宋_GB2312"/>
          <w:b/>
          <w:color w:val="000000"/>
          <w:sz w:val="32"/>
          <w:szCs w:val="32"/>
          <w:lang w:val="nb-NO"/>
        </w:rPr>
        <w:t>二）渔业水域污染事故处理</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海洋渔业水域污染事故发生及处理情况；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2.</w:t>
      </w:r>
      <w:r>
        <w:rPr>
          <w:rFonts w:hint="eastAsia" w:ascii="仿宋_GB2312" w:hAnsi="宋体" w:eastAsia="仿宋_GB2312"/>
          <w:color w:val="000000"/>
          <w:sz w:val="32"/>
          <w:szCs w:val="32"/>
          <w:lang w:val="nb-NO"/>
        </w:rPr>
        <w:t>内陆渔业水域污染事故发生及处理情况；</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3.</w:t>
      </w:r>
      <w:r>
        <w:rPr>
          <w:rFonts w:hint="eastAsia" w:ascii="仿宋_GB2312" w:hAnsi="宋体" w:eastAsia="仿宋_GB2312"/>
          <w:color w:val="000000"/>
          <w:sz w:val="32"/>
          <w:szCs w:val="32"/>
          <w:lang w:val="nb-NO"/>
        </w:rPr>
        <w:t>典型案例。</w:t>
      </w:r>
    </w:p>
    <w:p>
      <w:pPr>
        <w:spacing w:line="581" w:lineRule="exact"/>
        <w:ind w:firstLine="640" w:firstLineChars="200"/>
        <w:rPr>
          <w:rFonts w:ascii="仿宋_GB2312" w:hAnsi="宋体" w:eastAsia="仿宋_GB2312"/>
          <w:b/>
          <w:color w:val="000000"/>
          <w:sz w:val="32"/>
          <w:szCs w:val="32"/>
          <w:lang w:val="nb-NO"/>
        </w:rPr>
      </w:pPr>
      <w:r>
        <w:rPr>
          <w:rFonts w:hint="eastAsia" w:ascii="仿宋_GB2312" w:hAnsi="宋体" w:eastAsia="仿宋_GB2312"/>
          <w:color w:val="000000"/>
          <w:sz w:val="32"/>
          <w:szCs w:val="32"/>
          <w:lang w:val="nb-NO"/>
        </w:rPr>
        <w:t>（</w:t>
      </w:r>
      <w:r>
        <w:rPr>
          <w:rFonts w:hint="eastAsia" w:ascii="仿宋_GB2312" w:hAnsi="宋体" w:eastAsia="仿宋_GB2312"/>
          <w:b/>
          <w:color w:val="000000"/>
          <w:sz w:val="32"/>
          <w:szCs w:val="32"/>
          <w:lang w:val="nb-NO"/>
        </w:rPr>
        <w:t>三）渔业水域生态环境灾害防控</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赤潮、水母、浒苔、蓝藻水华等发生情况与防治；</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2.</w:t>
      </w:r>
      <w:r>
        <w:rPr>
          <w:rFonts w:hint="eastAsia" w:ascii="仿宋_GB2312" w:hAnsi="宋体" w:eastAsia="仿宋_GB2312"/>
          <w:color w:val="000000"/>
          <w:sz w:val="32"/>
          <w:szCs w:val="32"/>
          <w:lang w:val="nb-NO"/>
        </w:rPr>
        <w:t>外来物种入侵发生情况与防治。</w:t>
      </w:r>
    </w:p>
    <w:p>
      <w:pPr>
        <w:spacing w:line="581" w:lineRule="exact"/>
        <w:ind w:firstLine="643" w:firstLineChars="200"/>
        <w:rPr>
          <w:rFonts w:ascii="仿宋_GB2312" w:hAnsi="宋体" w:eastAsia="仿宋_GB2312"/>
          <w:color w:val="000000"/>
          <w:sz w:val="32"/>
          <w:szCs w:val="32"/>
          <w:lang w:val="nb-NO"/>
        </w:rPr>
      </w:pPr>
      <w:r>
        <w:rPr>
          <w:rFonts w:hint="eastAsia" w:ascii="仿宋_GB2312" w:hAnsi="宋体" w:eastAsia="仿宋_GB2312"/>
          <w:b/>
          <w:color w:val="000000"/>
          <w:sz w:val="32"/>
          <w:szCs w:val="32"/>
          <w:lang w:val="nb-NO"/>
        </w:rPr>
        <w:t>（四）渔业生态环境监控</w:t>
      </w:r>
    </w:p>
    <w:p>
      <w:pPr>
        <w:spacing w:line="581" w:lineRule="exact"/>
        <w:ind w:firstLine="640" w:firstLineChars="200"/>
        <w:rPr>
          <w:rFonts w:ascii="仿宋_GB2312" w:hAnsi="宋体" w:eastAsia="仿宋_GB2312"/>
          <w:color w:val="000000"/>
          <w:sz w:val="32"/>
          <w:szCs w:val="32"/>
          <w:lang w:val="nb-NO"/>
        </w:rPr>
      </w:pPr>
      <w:r>
        <w:rPr>
          <w:rFonts w:ascii="仿宋_GB2312" w:hAnsi="宋体" w:eastAsia="仿宋_GB2312"/>
          <w:color w:val="000000"/>
          <w:sz w:val="32"/>
          <w:szCs w:val="32"/>
          <w:lang w:val="nb-NO"/>
        </w:rPr>
        <w:t>1.</w:t>
      </w:r>
      <w:r>
        <w:rPr>
          <w:rFonts w:hint="eastAsia" w:ascii="仿宋_GB2312" w:hAnsi="宋体" w:eastAsia="仿宋_GB2312"/>
          <w:color w:val="000000"/>
          <w:sz w:val="32"/>
          <w:szCs w:val="32"/>
          <w:lang w:val="nb-NO"/>
        </w:rPr>
        <w:t>渔业生态环境监测；</w:t>
      </w:r>
    </w:p>
    <w:p>
      <w:pPr>
        <w:spacing w:line="581" w:lineRule="exact"/>
        <w:rPr>
          <w:rFonts w:ascii="仿宋_GB2312" w:hAnsi="宋体" w:eastAsia="仿宋_GB2312"/>
          <w:color w:val="000000"/>
          <w:sz w:val="32"/>
          <w:szCs w:val="32"/>
          <w:lang w:val="nb-NO"/>
        </w:rPr>
      </w:pPr>
      <w:r>
        <w:rPr>
          <w:rFonts w:ascii="仿宋_GB2312" w:hAnsi="宋体" w:eastAsia="仿宋_GB2312"/>
          <w:color w:val="000000"/>
          <w:sz w:val="32"/>
          <w:szCs w:val="32"/>
          <w:lang w:val="nb-NO"/>
        </w:rPr>
        <w:t xml:space="preserve">    2.</w:t>
      </w:r>
      <w:r>
        <w:rPr>
          <w:rFonts w:hint="eastAsia" w:ascii="仿宋_GB2312" w:hAnsi="宋体" w:eastAsia="仿宋_GB2312"/>
          <w:color w:val="000000"/>
          <w:sz w:val="32"/>
          <w:szCs w:val="32"/>
          <w:lang w:val="nb-NO"/>
        </w:rPr>
        <w:t>渔业生态环境修复和治理。</w:t>
      </w:r>
    </w:p>
    <w:p>
      <w:pPr>
        <w:spacing w:line="581" w:lineRule="exact"/>
        <w:ind w:firstLine="627" w:firstLineChars="196"/>
        <w:rPr>
          <w:lang w:val="nb-NO"/>
        </w:rPr>
        <w:sectPr>
          <w:footerReference r:id="rId3" w:type="default"/>
          <w:pgSz w:w="11906" w:h="16838"/>
          <w:pgMar w:top="1440" w:right="1800" w:bottom="1440" w:left="1800" w:header="851" w:footer="992" w:gutter="0"/>
          <w:cols w:space="720" w:num="1"/>
          <w:docGrid w:type="lines" w:linePitch="312" w:charSpace="0"/>
        </w:sectPr>
      </w:pPr>
      <w:r>
        <w:rPr>
          <w:rFonts w:hint="eastAsia" w:ascii="黑体" w:hAnsi="黑体" w:eastAsia="黑体"/>
          <w:color w:val="000000"/>
          <w:sz w:val="32"/>
          <w:szCs w:val="32"/>
          <w:lang w:val="nb-NO"/>
        </w:rPr>
        <w:t>五、存在问题和对策建议</w:t>
      </w:r>
    </w:p>
    <w:p>
      <w:pPr>
        <w:spacing w:line="360" w:lineRule="auto"/>
        <w:rPr>
          <w:rFonts w:ascii="黑体" w:hAnsi="宋体" w:eastAsia="黑体" w:cs="AdobeSongStd-Light"/>
          <w:color w:val="000000"/>
          <w:kern w:val="0"/>
          <w:sz w:val="28"/>
          <w:szCs w:val="28"/>
        </w:rPr>
      </w:pP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2-1</w:t>
      </w:r>
    </w:p>
    <w:p>
      <w:pPr>
        <w:jc w:val="center"/>
        <w:rPr>
          <w:rFonts w:eastAsia="黑体"/>
          <w:color w:val="000000"/>
          <w:sz w:val="30"/>
        </w:rPr>
      </w:pPr>
      <w:r>
        <w:rPr>
          <w:rFonts w:hint="eastAsia" w:eastAsia="黑体"/>
          <w:color w:val="000000"/>
          <w:sz w:val="30"/>
        </w:rPr>
        <w:t>省（区、市）年中央财政农业资源及生态保护补助项目增殖放流情况统计表</w:t>
      </w:r>
    </w:p>
    <w:tbl>
      <w:tblPr>
        <w:tblStyle w:val="5"/>
        <w:tblW w:w="0" w:type="auto"/>
        <w:tblInd w:w="0" w:type="dxa"/>
        <w:tblBorders>
          <w:top w:val="single" w:color="auto" w:sz="6" w:space="0"/>
          <w:left w:val="single" w:color="auto" w:sz="6" w:space="0"/>
          <w:bottom w:val="none" w:color="auto" w:sz="0"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1010"/>
        <w:gridCol w:w="1855"/>
        <w:gridCol w:w="1843"/>
        <w:gridCol w:w="1985"/>
        <w:gridCol w:w="1984"/>
        <w:gridCol w:w="2126"/>
        <w:gridCol w:w="2127"/>
      </w:tblGrid>
      <w:tr>
        <w:tblPrEx>
          <w:tblBorders>
            <w:top w:val="single" w:color="auto" w:sz="6" w:space="0"/>
            <w:left w:val="single" w:color="auto" w:sz="6" w:space="0"/>
            <w:bottom w:val="none" w:color="auto" w:sz="0"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14" w:hRule="atLeast"/>
        </w:trPr>
        <w:tc>
          <w:tcPr>
            <w:tcW w:w="1010" w:type="dxa"/>
            <w:vMerge w:val="restar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项目内容</w:t>
            </w:r>
          </w:p>
        </w:tc>
        <w:tc>
          <w:tcPr>
            <w:tcW w:w="7667" w:type="dxa"/>
            <w:gridSpan w:val="4"/>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本年度下达中央财政资金执行情况</w:t>
            </w:r>
          </w:p>
        </w:tc>
        <w:tc>
          <w:tcPr>
            <w:tcW w:w="4253" w:type="dxa"/>
            <w:gridSpan w:val="2"/>
            <w:vMerge w:val="restart"/>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上一年度下达中央财政资金结转</w:t>
            </w:r>
          </w:p>
          <w:p>
            <w:pPr>
              <w:autoSpaceDE w:val="0"/>
              <w:autoSpaceDN w:val="0"/>
              <w:adjustRightInd w:val="0"/>
              <w:jc w:val="center"/>
              <w:rPr>
                <w:rFonts w:eastAsia="黑体"/>
                <w:color w:val="000000"/>
              </w:rPr>
            </w:pPr>
            <w:r>
              <w:rPr>
                <w:rFonts w:hint="eastAsia" w:eastAsia="黑体"/>
                <w:color w:val="000000"/>
              </w:rPr>
              <w:t>在本年度实际执行情况</w:t>
            </w:r>
          </w:p>
        </w:tc>
      </w:tr>
      <w:tr>
        <w:tblPrEx>
          <w:tblBorders>
            <w:top w:val="single" w:color="auto" w:sz="6" w:space="0"/>
            <w:left w:val="single" w:color="auto" w:sz="6" w:space="0"/>
            <w:bottom w:val="none" w:color="auto" w:sz="0"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14" w:hRule="atLeast"/>
        </w:trPr>
        <w:tc>
          <w:tcPr>
            <w:tcW w:w="1010" w:type="dxa"/>
            <w:vMerge w:val="continue"/>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3698" w:type="dxa"/>
            <w:gridSpan w:val="2"/>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实施方案计划放流情况</w:t>
            </w:r>
          </w:p>
        </w:tc>
        <w:tc>
          <w:tcPr>
            <w:tcW w:w="3969" w:type="dxa"/>
            <w:gridSpan w:val="2"/>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实际执行情况</w:t>
            </w:r>
          </w:p>
        </w:tc>
        <w:tc>
          <w:tcPr>
            <w:tcW w:w="4253" w:type="dxa"/>
            <w:gridSpan w:val="2"/>
            <w:vMerge w:val="continue"/>
            <w:tcBorders>
              <w:top w:val="single" w:color="auto" w:sz="6" w:space="0"/>
              <w:left w:val="single" w:color="auto" w:sz="6" w:space="0"/>
              <w:bottom w:val="single" w:color="auto" w:sz="6" w:space="0"/>
              <w:right w:val="single" w:color="auto" w:sz="6" w:space="0"/>
            </w:tcBorders>
            <w:noWrap/>
          </w:tcPr>
          <w:p>
            <w:pPr>
              <w:autoSpaceDE w:val="0"/>
              <w:autoSpaceDN w:val="0"/>
              <w:adjustRightInd w:val="0"/>
              <w:jc w:val="center"/>
              <w:rPr>
                <w:rFonts w:eastAsia="黑体"/>
                <w:color w:val="000000"/>
              </w:rPr>
            </w:pPr>
          </w:p>
        </w:tc>
      </w:tr>
      <w:tr>
        <w:tblPrEx>
          <w:tblBorders>
            <w:top w:val="single" w:color="auto" w:sz="6" w:space="0"/>
            <w:left w:val="single" w:color="auto" w:sz="6" w:space="0"/>
            <w:bottom w:val="none" w:color="auto" w:sz="0"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14" w:hRule="atLeast"/>
        </w:trPr>
        <w:tc>
          <w:tcPr>
            <w:tcW w:w="1010" w:type="dxa"/>
            <w:vMerge w:val="continue"/>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85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资金规模（万元）</w:t>
            </w:r>
          </w:p>
        </w:tc>
        <w:tc>
          <w:tcPr>
            <w:tcW w:w="1843"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放流数量（万尾）</w:t>
            </w:r>
          </w:p>
        </w:tc>
        <w:tc>
          <w:tcPr>
            <w:tcW w:w="198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资金规模（万元）</w:t>
            </w:r>
          </w:p>
        </w:tc>
        <w:tc>
          <w:tcPr>
            <w:tcW w:w="1984"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放流数量（万尾）</w:t>
            </w:r>
          </w:p>
        </w:tc>
        <w:tc>
          <w:tcPr>
            <w:tcW w:w="2126"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资金规模（万元）</w:t>
            </w:r>
          </w:p>
        </w:tc>
        <w:tc>
          <w:tcPr>
            <w:tcW w:w="2127"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放流数量（万尾）</w:t>
            </w:r>
          </w:p>
        </w:tc>
      </w:tr>
      <w:tr>
        <w:tblPrEx>
          <w:tblBorders>
            <w:top w:val="single" w:color="auto" w:sz="6" w:space="0"/>
            <w:left w:val="single" w:color="auto" w:sz="6" w:space="0"/>
            <w:bottom w:val="none" w:color="auto" w:sz="0"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63" w:hRule="atLeast"/>
        </w:trPr>
        <w:tc>
          <w:tcPr>
            <w:tcW w:w="1010"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淡水经济物种</w:t>
            </w:r>
          </w:p>
        </w:tc>
        <w:tc>
          <w:tcPr>
            <w:tcW w:w="185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843"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rPr>
                <w:rFonts w:eastAsia="黑体"/>
                <w:color w:val="000000"/>
                <w:u w:val="single"/>
              </w:rPr>
            </w:pPr>
          </w:p>
        </w:tc>
        <w:tc>
          <w:tcPr>
            <w:tcW w:w="198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984"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rPr>
                <w:rFonts w:eastAsia="黑体"/>
                <w:color w:val="000000"/>
                <w:u w:val="single"/>
              </w:rPr>
            </w:pPr>
          </w:p>
        </w:tc>
        <w:tc>
          <w:tcPr>
            <w:tcW w:w="2126"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u w:val="single"/>
              </w:rPr>
            </w:pPr>
          </w:p>
        </w:tc>
        <w:tc>
          <w:tcPr>
            <w:tcW w:w="2127"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u w:val="single"/>
              </w:rPr>
            </w:pPr>
          </w:p>
        </w:tc>
      </w:tr>
      <w:tr>
        <w:tblPrEx>
          <w:tblBorders>
            <w:top w:val="single" w:color="auto" w:sz="6" w:space="0"/>
            <w:left w:val="single" w:color="auto" w:sz="6" w:space="0"/>
            <w:bottom w:val="none" w:color="auto" w:sz="0"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64" w:hRule="atLeast"/>
        </w:trPr>
        <w:tc>
          <w:tcPr>
            <w:tcW w:w="1010"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海水经济物种</w:t>
            </w:r>
          </w:p>
        </w:tc>
        <w:tc>
          <w:tcPr>
            <w:tcW w:w="185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843"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rPr>
                <w:rFonts w:eastAsia="黑体"/>
                <w:color w:val="000000"/>
              </w:rPr>
            </w:pPr>
          </w:p>
        </w:tc>
        <w:tc>
          <w:tcPr>
            <w:tcW w:w="198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984"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rPr>
                <w:rFonts w:eastAsia="黑体"/>
                <w:color w:val="000000"/>
                <w:u w:val="single"/>
              </w:rPr>
            </w:pPr>
          </w:p>
        </w:tc>
        <w:tc>
          <w:tcPr>
            <w:tcW w:w="2126"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2127"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r>
      <w:tr>
        <w:tblPrEx>
          <w:tblBorders>
            <w:top w:val="single" w:color="auto" w:sz="6" w:space="0"/>
            <w:left w:val="single" w:color="auto" w:sz="6" w:space="0"/>
            <w:bottom w:val="none" w:color="auto" w:sz="0"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13" w:hRule="atLeast"/>
        </w:trPr>
        <w:tc>
          <w:tcPr>
            <w:tcW w:w="1010"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珍稀濒危物种</w:t>
            </w:r>
          </w:p>
        </w:tc>
        <w:tc>
          <w:tcPr>
            <w:tcW w:w="185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843"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rPr>
                <w:rFonts w:eastAsia="黑体"/>
                <w:color w:val="000000"/>
                <w:u w:val="single"/>
              </w:rPr>
            </w:pPr>
          </w:p>
        </w:tc>
        <w:tc>
          <w:tcPr>
            <w:tcW w:w="198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984"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rPr>
                <w:rFonts w:eastAsia="黑体"/>
                <w:color w:val="000000"/>
                <w:u w:val="single"/>
              </w:rPr>
            </w:pPr>
          </w:p>
        </w:tc>
        <w:tc>
          <w:tcPr>
            <w:tcW w:w="2126"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u w:val="single"/>
              </w:rPr>
            </w:pPr>
          </w:p>
        </w:tc>
        <w:tc>
          <w:tcPr>
            <w:tcW w:w="2127"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u w:val="single"/>
              </w:rPr>
            </w:pPr>
          </w:p>
        </w:tc>
      </w:tr>
      <w:tr>
        <w:tblPrEx>
          <w:tblBorders>
            <w:top w:val="single" w:color="auto" w:sz="6" w:space="0"/>
            <w:left w:val="single" w:color="auto" w:sz="6" w:space="0"/>
            <w:bottom w:val="none" w:color="auto" w:sz="0"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25" w:hRule="atLeast"/>
        </w:trPr>
        <w:tc>
          <w:tcPr>
            <w:tcW w:w="1010"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r>
              <w:rPr>
                <w:rFonts w:hint="eastAsia" w:eastAsia="黑体"/>
                <w:color w:val="000000"/>
              </w:rPr>
              <w:t>合计</w:t>
            </w:r>
          </w:p>
        </w:tc>
        <w:tc>
          <w:tcPr>
            <w:tcW w:w="185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843"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985"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1984"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2126"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c>
          <w:tcPr>
            <w:tcW w:w="2127"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jc w:val="center"/>
              <w:rPr>
                <w:rFonts w:eastAsia="黑体"/>
                <w:color w:val="000000"/>
              </w:rPr>
            </w:pPr>
          </w:p>
        </w:tc>
      </w:tr>
    </w:tbl>
    <w:p>
      <w:pPr>
        <w:spacing w:line="360" w:lineRule="exact"/>
        <w:rPr>
          <w:rFonts w:eastAsia="仿宋_GB2312"/>
          <w:color w:val="000000"/>
        </w:rPr>
      </w:pPr>
      <w:r>
        <w:rPr>
          <w:rFonts w:hint="eastAsia" w:eastAsia="仿宋_GB2312"/>
          <w:color w:val="000000"/>
        </w:rPr>
        <w:t>填表单位：（盖章）填表人：联系电话：填表日期：</w:t>
      </w:r>
    </w:p>
    <w:p>
      <w:pPr>
        <w:spacing w:line="360" w:lineRule="auto"/>
        <w:rPr>
          <w:rFonts w:eastAsia="仿宋_GB2312"/>
          <w:b/>
          <w:color w:val="000000"/>
        </w:rPr>
      </w:pPr>
      <w:r>
        <w:rPr>
          <w:rFonts w:hint="eastAsia" w:eastAsia="仿宋_GB2312"/>
          <w:color w:val="000000"/>
        </w:rPr>
        <w:t>填表说明</w:t>
      </w:r>
      <w:r>
        <w:rPr>
          <w:rFonts w:eastAsia="仿宋_GB2312"/>
          <w:color w:val="000000"/>
        </w:rPr>
        <w:t>:</w:t>
      </w:r>
      <w:r>
        <w:rPr>
          <w:rFonts w:hint="eastAsia" w:eastAsia="仿宋_GB2312"/>
          <w:color w:val="000000"/>
        </w:rPr>
        <w:t>表中每项指标的填写要求请登录《全国水生生物资源养护信息系统》查看“资源养护信息采集</w:t>
      </w:r>
      <w:r>
        <w:rPr>
          <w:rFonts w:eastAsia="仿宋_GB2312"/>
          <w:color w:val="000000"/>
        </w:rPr>
        <w:t>-</w:t>
      </w:r>
      <w:r>
        <w:rPr>
          <w:rFonts w:hint="eastAsia" w:eastAsia="仿宋_GB2312"/>
          <w:color w:val="000000"/>
        </w:rPr>
        <w:t>数据报送</w:t>
      </w:r>
      <w:r>
        <w:rPr>
          <w:rFonts w:eastAsia="仿宋_GB2312"/>
          <w:color w:val="000000"/>
        </w:rPr>
        <w:t>-</w:t>
      </w:r>
      <w:r>
        <w:rPr>
          <w:rFonts w:hint="eastAsia" w:eastAsia="仿宋_GB2312"/>
          <w:color w:val="000000"/>
        </w:rPr>
        <w:t>每个基础报表的填报说明”。</w:t>
      </w:r>
    </w:p>
    <w:p>
      <w:pPr>
        <w:spacing w:line="360" w:lineRule="auto"/>
        <w:rPr>
          <w:rFonts w:ascii="黑体" w:hAnsi="宋体" w:eastAsia="黑体" w:cs="AdobeSongStd-Light"/>
          <w:color w:val="000000"/>
          <w:kern w:val="0"/>
          <w:sz w:val="28"/>
          <w:szCs w:val="28"/>
        </w:rPr>
      </w:pPr>
      <w:r>
        <w:rPr>
          <w:rFonts w:eastAsia="仿宋_GB2312"/>
          <w:b/>
          <w:color w:val="000000"/>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2-2</w:t>
      </w:r>
    </w:p>
    <w:p>
      <w:pPr>
        <w:jc w:val="center"/>
        <w:rPr>
          <w:rFonts w:ascii="黑体" w:eastAsia="黑体"/>
          <w:color w:val="000000"/>
          <w:sz w:val="30"/>
          <w:lang w:val="nb-NO"/>
        </w:rPr>
      </w:pPr>
      <w:r>
        <w:rPr>
          <w:rFonts w:hint="eastAsia" w:ascii="黑体" w:eastAsia="黑体"/>
          <w:color w:val="000000"/>
          <w:sz w:val="30"/>
          <w:lang w:val="nb-NO"/>
        </w:rPr>
        <w:t>海洋生物资源增殖放流统计表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846"/>
        <w:gridCol w:w="2830"/>
        <w:gridCol w:w="2393"/>
        <w:gridCol w:w="761"/>
        <w:gridCol w:w="762"/>
        <w:gridCol w:w="762"/>
        <w:gridCol w:w="762"/>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946" w:type="dxa"/>
            <w:gridSpan w:val="2"/>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放流品种</w:t>
            </w:r>
          </w:p>
        </w:tc>
        <w:tc>
          <w:tcPr>
            <w:tcW w:w="283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放流数量（万尾）</w:t>
            </w:r>
          </w:p>
        </w:tc>
        <w:tc>
          <w:tcPr>
            <w:tcW w:w="2393"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单价（元</w:t>
            </w:r>
            <w:r>
              <w:rPr>
                <w:rFonts w:ascii="黑体" w:eastAsia="黑体"/>
                <w:color w:val="000000"/>
                <w:lang w:val="nb-NO"/>
              </w:rPr>
              <w:t>/</w:t>
            </w:r>
            <w:r>
              <w:rPr>
                <w:rFonts w:hint="eastAsia" w:ascii="黑体" w:eastAsia="黑体"/>
                <w:color w:val="000000"/>
                <w:lang w:val="nb-NO"/>
              </w:rPr>
              <w:t>万尾）</w:t>
            </w:r>
          </w:p>
        </w:tc>
        <w:tc>
          <w:tcPr>
            <w:tcW w:w="3047"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投入资金（万元）</w:t>
            </w:r>
          </w:p>
        </w:tc>
        <w:tc>
          <w:tcPr>
            <w:tcW w:w="159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举行活动次数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946" w:type="dxa"/>
            <w:gridSpan w:val="2"/>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83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中央</w:t>
            </w: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省级</w:t>
            </w: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市县</w:t>
            </w: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社会</w:t>
            </w:r>
          </w:p>
        </w:tc>
        <w:tc>
          <w:tcPr>
            <w:tcW w:w="159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0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对虾类</w:t>
            </w:r>
          </w:p>
        </w:tc>
        <w:tc>
          <w:tcPr>
            <w:tcW w:w="184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中国对虾</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国家级：次</w:t>
            </w:r>
          </w:p>
          <w:p>
            <w:pPr>
              <w:jc w:val="center"/>
              <w:rPr>
                <w:rFonts w:ascii="黑体" w:eastAsia="黑体"/>
                <w:color w:val="000000"/>
                <w:lang w:val="nb-NO"/>
              </w:rPr>
            </w:pPr>
            <w:r>
              <w:rPr>
                <w:rFonts w:hint="eastAsia" w:ascii="黑体" w:eastAsia="黑体"/>
                <w:color w:val="000000"/>
                <w:lang w:val="nb-NO"/>
              </w:rPr>
              <w:t>省级：次</w:t>
            </w:r>
          </w:p>
          <w:p>
            <w:pPr>
              <w:jc w:val="center"/>
              <w:rPr>
                <w:rFonts w:ascii="黑体" w:eastAsia="黑体"/>
                <w:color w:val="000000"/>
                <w:lang w:val="nb-NO"/>
              </w:rPr>
            </w:pPr>
            <w:r>
              <w:rPr>
                <w:rFonts w:hint="eastAsia" w:ascii="黑体" w:eastAsia="黑体"/>
                <w:color w:val="000000"/>
                <w:lang w:val="nb-NO"/>
              </w:rPr>
              <w:t>市县级：次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0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84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竹节对虾</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0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84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长毛对虾</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0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84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其它</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00"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海水鱼类</w:t>
            </w:r>
          </w:p>
        </w:tc>
        <w:tc>
          <w:tcPr>
            <w:tcW w:w="184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大黄鱼</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0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84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鲆鲽类</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0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84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鲷科鱼类</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0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84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其它</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94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蟹类</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94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海蜇</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94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海水贝类</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94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其它种类</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1"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762"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946"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合计</w:t>
            </w:r>
          </w:p>
        </w:tc>
        <w:tc>
          <w:tcPr>
            <w:tcW w:w="283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393"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3047"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159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bl>
    <w:p>
      <w:pPr>
        <w:rPr>
          <w:rFonts w:eastAsia="仿宋_GB2312"/>
          <w:color w:val="000000"/>
        </w:rPr>
      </w:pPr>
      <w:r>
        <w:rPr>
          <w:rFonts w:hint="eastAsia" w:eastAsia="仿宋_GB2312"/>
          <w:color w:val="000000"/>
        </w:rPr>
        <w:t>填表单位：（盖章）填表人：联系电话：填表日期：</w:t>
      </w:r>
    </w:p>
    <w:p>
      <w:pPr>
        <w:rPr>
          <w:rFonts w:eastAsia="仿宋_GB2312"/>
          <w:color w:val="000000"/>
          <w:lang w:val="nb-NO"/>
        </w:rPr>
      </w:pPr>
    </w:p>
    <w:p>
      <w:pPr>
        <w:rPr>
          <w:rFonts w:eastAsia="仿宋_GB2312"/>
          <w:color w:val="000000"/>
          <w:lang w:val="nb-NO"/>
        </w:rPr>
      </w:pPr>
    </w:p>
    <w:p>
      <w:pPr>
        <w:autoSpaceDE w:val="0"/>
        <w:autoSpaceDN w:val="0"/>
        <w:adjustRightInd w:val="0"/>
        <w:jc w:val="left"/>
        <w:rPr>
          <w:rFonts w:ascii="黑体" w:hAnsi="宋体" w:eastAsia="黑体" w:cs="AdobeSongStd-Light"/>
          <w:color w:val="000000"/>
          <w:kern w:val="0"/>
          <w:sz w:val="28"/>
          <w:szCs w:val="28"/>
        </w:rPr>
      </w:pP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2-3</w:t>
      </w:r>
    </w:p>
    <w:p>
      <w:pPr>
        <w:jc w:val="center"/>
        <w:rPr>
          <w:rFonts w:ascii="黑体" w:eastAsia="黑体"/>
          <w:color w:val="000000"/>
          <w:sz w:val="30"/>
          <w:lang w:val="nb-NO"/>
        </w:rPr>
      </w:pPr>
      <w:r>
        <w:rPr>
          <w:rFonts w:hint="eastAsia" w:ascii="黑体" w:eastAsia="黑体"/>
          <w:color w:val="000000"/>
          <w:sz w:val="30"/>
          <w:lang w:val="nb-NO"/>
        </w:rPr>
        <w:t>淡水生物资源增殖放流统计表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2676"/>
        <w:gridCol w:w="2677"/>
        <w:gridCol w:w="669"/>
        <w:gridCol w:w="669"/>
        <w:gridCol w:w="669"/>
        <w:gridCol w:w="670"/>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67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放流品种</w:t>
            </w:r>
          </w:p>
        </w:tc>
        <w:tc>
          <w:tcPr>
            <w:tcW w:w="267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放流数量（万尾）</w:t>
            </w:r>
          </w:p>
        </w:tc>
        <w:tc>
          <w:tcPr>
            <w:tcW w:w="2677"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单价（元</w:t>
            </w:r>
            <w:r>
              <w:rPr>
                <w:rFonts w:ascii="黑体" w:eastAsia="黑体"/>
                <w:color w:val="000000"/>
                <w:lang w:val="nb-NO"/>
              </w:rPr>
              <w:t>/</w:t>
            </w:r>
            <w:r>
              <w:rPr>
                <w:rFonts w:hint="eastAsia" w:ascii="黑体" w:eastAsia="黑体"/>
                <w:color w:val="000000"/>
                <w:lang w:val="nb-NO"/>
              </w:rPr>
              <w:t>万尾）</w:t>
            </w:r>
          </w:p>
        </w:tc>
        <w:tc>
          <w:tcPr>
            <w:tcW w:w="2677"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投入资金（万元）</w:t>
            </w: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举行活动次数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67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中央</w:t>
            </w: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省级</w:t>
            </w: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市县</w:t>
            </w: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社会</w:t>
            </w: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青</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国家级：次</w:t>
            </w:r>
          </w:p>
          <w:p>
            <w:pPr>
              <w:jc w:val="center"/>
              <w:rPr>
                <w:rFonts w:ascii="黑体" w:eastAsia="黑体"/>
                <w:color w:val="000000"/>
                <w:lang w:val="nb-NO"/>
              </w:rPr>
            </w:pPr>
            <w:r>
              <w:rPr>
                <w:rFonts w:hint="eastAsia" w:ascii="黑体" w:eastAsia="黑体"/>
                <w:color w:val="000000"/>
                <w:lang w:val="nb-NO"/>
              </w:rPr>
              <w:t>省级：次</w:t>
            </w:r>
          </w:p>
          <w:p>
            <w:pPr>
              <w:jc w:val="center"/>
              <w:rPr>
                <w:rFonts w:ascii="黑体" w:eastAsia="黑体"/>
                <w:color w:val="000000"/>
                <w:lang w:val="nb-NO"/>
              </w:rPr>
            </w:pPr>
            <w:r>
              <w:rPr>
                <w:rFonts w:hint="eastAsia" w:ascii="黑体" w:eastAsia="黑体"/>
                <w:color w:val="000000"/>
                <w:lang w:val="nb-NO"/>
              </w:rPr>
              <w:t>市县级：次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草</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鲢</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鳙</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鳊</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鲂</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中华绒螯蟹</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其它种类</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合计</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bl>
    <w:p>
      <w:pPr>
        <w:rPr>
          <w:rFonts w:eastAsia="仿宋_GB2312"/>
          <w:color w:val="000000"/>
          <w:sz w:val="30"/>
          <w:lang w:val="nb-NO"/>
        </w:rPr>
      </w:pPr>
      <w:r>
        <w:rPr>
          <w:rFonts w:hint="eastAsia" w:eastAsia="仿宋_GB2312"/>
          <w:color w:val="000000"/>
        </w:rPr>
        <w:t>填表单位：（盖章）填表人：联系电话：填表日期：</w:t>
      </w:r>
    </w:p>
    <w:p>
      <w:pPr>
        <w:rPr>
          <w:rFonts w:eastAsia="仿宋_GB2312"/>
          <w:color w:val="000000"/>
          <w:sz w:val="30"/>
          <w:lang w:val="nb-NO"/>
        </w:rPr>
      </w:pPr>
      <w:r>
        <w:rPr>
          <w:rFonts w:eastAsia="仿宋_GB2312"/>
          <w:color w:val="000000"/>
          <w:lang w:val="nb-NO"/>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2-4</w:t>
      </w:r>
    </w:p>
    <w:p>
      <w:pPr>
        <w:jc w:val="center"/>
        <w:rPr>
          <w:rFonts w:ascii="黑体" w:eastAsia="黑体"/>
          <w:color w:val="000000"/>
          <w:sz w:val="30"/>
          <w:lang w:val="nb-NO"/>
        </w:rPr>
      </w:pPr>
      <w:r>
        <w:rPr>
          <w:rFonts w:hint="eastAsia" w:ascii="黑体" w:eastAsia="黑体"/>
          <w:color w:val="000000"/>
          <w:sz w:val="30"/>
          <w:lang w:val="nb-NO"/>
        </w:rPr>
        <w:t>珍稀濒危水生野生动物增殖放流统计表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2676"/>
        <w:gridCol w:w="2677"/>
        <w:gridCol w:w="669"/>
        <w:gridCol w:w="669"/>
        <w:gridCol w:w="669"/>
        <w:gridCol w:w="670"/>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67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放流物种</w:t>
            </w:r>
          </w:p>
        </w:tc>
        <w:tc>
          <w:tcPr>
            <w:tcW w:w="2676"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放流数量（万尾）</w:t>
            </w:r>
          </w:p>
        </w:tc>
        <w:tc>
          <w:tcPr>
            <w:tcW w:w="2677"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单价（元</w:t>
            </w:r>
            <w:r>
              <w:rPr>
                <w:rFonts w:ascii="黑体" w:eastAsia="黑体"/>
                <w:color w:val="000000"/>
                <w:lang w:val="nb-NO"/>
              </w:rPr>
              <w:t>/</w:t>
            </w:r>
            <w:r>
              <w:rPr>
                <w:rFonts w:hint="eastAsia" w:ascii="黑体" w:eastAsia="黑体"/>
                <w:color w:val="000000"/>
                <w:lang w:val="nb-NO"/>
              </w:rPr>
              <w:t>万尾）</w:t>
            </w:r>
          </w:p>
        </w:tc>
        <w:tc>
          <w:tcPr>
            <w:tcW w:w="2677"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投入资金（万元）</w:t>
            </w:r>
          </w:p>
        </w:tc>
        <w:tc>
          <w:tcPr>
            <w:tcW w:w="2677"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举行活动次数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67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中央</w:t>
            </w: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省级</w:t>
            </w: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市县</w:t>
            </w: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社会</w:t>
            </w: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国家级：次</w:t>
            </w:r>
          </w:p>
          <w:p>
            <w:pPr>
              <w:jc w:val="center"/>
              <w:rPr>
                <w:rFonts w:ascii="黑体" w:eastAsia="黑体"/>
                <w:color w:val="000000"/>
                <w:lang w:val="nb-NO"/>
              </w:rPr>
            </w:pPr>
            <w:r>
              <w:rPr>
                <w:rFonts w:hint="eastAsia" w:ascii="黑体" w:eastAsia="黑体"/>
                <w:color w:val="000000"/>
                <w:lang w:val="nb-NO"/>
              </w:rPr>
              <w:t>省级：次</w:t>
            </w:r>
          </w:p>
          <w:p>
            <w:pPr>
              <w:jc w:val="center"/>
              <w:rPr>
                <w:rFonts w:ascii="黑体" w:eastAsia="黑体"/>
                <w:color w:val="000000"/>
                <w:lang w:val="nb-NO"/>
              </w:rPr>
            </w:pPr>
            <w:r>
              <w:rPr>
                <w:rFonts w:hint="eastAsia" w:ascii="黑体" w:eastAsia="黑体"/>
                <w:color w:val="000000"/>
                <w:lang w:val="nb-NO"/>
              </w:rPr>
              <w:t>市县级：次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69"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67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合计</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bl>
    <w:p>
      <w:pPr>
        <w:rPr>
          <w:rFonts w:eastAsia="仿宋_GB2312"/>
          <w:color w:val="000000"/>
          <w:sz w:val="30"/>
          <w:lang w:val="nb-NO"/>
        </w:rPr>
      </w:pPr>
      <w:r>
        <w:rPr>
          <w:rFonts w:hint="eastAsia" w:eastAsia="仿宋_GB2312"/>
          <w:color w:val="000000"/>
        </w:rPr>
        <w:t>填表单位：（盖章）填表人：联系电话：填表日期：</w:t>
      </w:r>
    </w:p>
    <w:p>
      <w:pPr>
        <w:autoSpaceDE w:val="0"/>
        <w:autoSpaceDN w:val="0"/>
        <w:adjustRightInd w:val="0"/>
        <w:jc w:val="left"/>
        <w:rPr>
          <w:rFonts w:eastAsia="仿宋_GB2312"/>
          <w:color w:val="000000"/>
          <w:sz w:val="30"/>
          <w:lang w:val="nb-NO"/>
        </w:rPr>
      </w:pPr>
      <w:r>
        <w:rPr>
          <w:rFonts w:eastAsia="黑体"/>
          <w:color w:val="000000"/>
          <w:sz w:val="30"/>
          <w:lang w:val="nb-NO"/>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2-5</w:t>
      </w:r>
    </w:p>
    <w:p>
      <w:pPr>
        <w:rPr>
          <w:rFonts w:eastAsia="仿宋_GB2312"/>
          <w:color w:val="000000"/>
          <w:szCs w:val="21"/>
          <w:lang w:val="nb-NO"/>
        </w:rPr>
      </w:pPr>
    </w:p>
    <w:tbl>
      <w:tblPr>
        <w:tblStyle w:val="5"/>
        <w:tblW w:w="0" w:type="auto"/>
        <w:tblInd w:w="0" w:type="dxa"/>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820"/>
        <w:gridCol w:w="2975"/>
        <w:gridCol w:w="900"/>
      </w:tblGrid>
      <w:tr>
        <w:tblPrEx>
          <w:tblCellMar>
            <w:top w:w="0" w:type="dxa"/>
            <w:left w:w="108" w:type="dxa"/>
            <w:bottom w:w="0" w:type="dxa"/>
            <w:right w:w="108" w:type="dxa"/>
          </w:tblCellMar>
        </w:tblPrEx>
        <w:trPr>
          <w:trHeight w:val="405" w:hRule="atLeast"/>
        </w:trPr>
        <w:tc>
          <w:tcPr>
            <w:tcW w:w="13335" w:type="dxa"/>
            <w:gridSpan w:val="11"/>
            <w:tcBorders>
              <w:top w:val="nil"/>
              <w:left w:val="nil"/>
              <w:bottom w:val="single" w:color="auto" w:sz="4" w:space="0"/>
              <w:right w:val="nil"/>
            </w:tcBorders>
            <w:noWrap/>
            <w:vAlign w:val="bottom"/>
          </w:tcPr>
          <w:p>
            <w:pPr>
              <w:jc w:val="center"/>
              <w:rPr>
                <w:rFonts w:ascii="黑体" w:hAnsi="宋体" w:eastAsia="黑体" w:cs="宋体"/>
                <w:sz w:val="30"/>
                <w:szCs w:val="30"/>
              </w:rPr>
            </w:pPr>
            <w:r>
              <w:rPr>
                <w:rFonts w:hint="eastAsia" w:ascii="黑体" w:hAnsi="宋体" w:eastAsia="黑体" w:cs="宋体"/>
                <w:sz w:val="30"/>
                <w:szCs w:val="30"/>
              </w:rPr>
              <w:t>水生生物增殖放流基础数据统计表</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放流地点</w:t>
            </w:r>
          </w:p>
        </w:tc>
        <w:tc>
          <w:tcPr>
            <w:tcW w:w="108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放流时间</w:t>
            </w:r>
          </w:p>
        </w:tc>
        <w:tc>
          <w:tcPr>
            <w:tcW w:w="108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放流品种</w:t>
            </w:r>
          </w:p>
        </w:tc>
        <w:tc>
          <w:tcPr>
            <w:tcW w:w="108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放流数量（万尾）</w:t>
            </w:r>
          </w:p>
        </w:tc>
        <w:tc>
          <w:tcPr>
            <w:tcW w:w="108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放流规格（厘米）</w:t>
            </w:r>
          </w:p>
        </w:tc>
        <w:tc>
          <w:tcPr>
            <w:tcW w:w="108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放流资金（万元）</w:t>
            </w:r>
          </w:p>
        </w:tc>
        <w:tc>
          <w:tcPr>
            <w:tcW w:w="108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资金来源</w:t>
            </w:r>
          </w:p>
        </w:tc>
        <w:tc>
          <w:tcPr>
            <w:tcW w:w="108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放流活动组织单位</w:t>
            </w:r>
          </w:p>
        </w:tc>
        <w:tc>
          <w:tcPr>
            <w:tcW w:w="82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放流活动级别</w:t>
            </w:r>
          </w:p>
        </w:tc>
        <w:tc>
          <w:tcPr>
            <w:tcW w:w="2975"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供苗单位</w:t>
            </w:r>
          </w:p>
        </w:tc>
        <w:tc>
          <w:tcPr>
            <w:tcW w:w="900"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备注</w:t>
            </w:r>
          </w:p>
        </w:tc>
      </w:tr>
      <w:tr>
        <w:tblPrEx>
          <w:tblCellMar>
            <w:top w:w="0" w:type="dxa"/>
            <w:left w:w="108" w:type="dxa"/>
            <w:bottom w:w="0" w:type="dxa"/>
            <w:right w:w="108" w:type="dxa"/>
          </w:tblCellMar>
        </w:tblPrEx>
        <w:trPr>
          <w:trHeight w:val="315" w:hRule="atLeast"/>
        </w:trPr>
        <w:tc>
          <w:tcPr>
            <w:tcW w:w="1080" w:type="dxa"/>
            <w:vMerge w:val="restart"/>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820" w:type="dxa"/>
            <w:vMerge w:val="restart"/>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p>
            <w:pPr>
              <w:spacing w:line="480" w:lineRule="auto"/>
              <w:jc w:val="center"/>
              <w:rPr>
                <w:rFonts w:ascii="宋体" w:hAnsi="宋体" w:cs="宋体"/>
              </w:rPr>
            </w:pPr>
          </w:p>
          <w:p>
            <w:pPr>
              <w:spacing w:line="480" w:lineRule="auto"/>
              <w:jc w:val="center"/>
              <w:rPr>
                <w:rFonts w:ascii="宋体" w:hAnsi="宋体" w:cs="宋体"/>
              </w:rPr>
            </w:pPr>
          </w:p>
        </w:tc>
        <w:tc>
          <w:tcPr>
            <w:tcW w:w="29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r>
      <w:tr>
        <w:tblPrEx>
          <w:tblCellMar>
            <w:top w:w="0" w:type="dxa"/>
            <w:left w:w="108" w:type="dxa"/>
            <w:bottom w:w="0" w:type="dxa"/>
            <w:right w:w="108" w:type="dxa"/>
          </w:tblCellMar>
        </w:tblPrEx>
        <w:trPr>
          <w:trHeight w:val="300" w:hRule="atLeast"/>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29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r>
      <w:tr>
        <w:tblPrEx>
          <w:tblCellMar>
            <w:top w:w="0" w:type="dxa"/>
            <w:left w:w="108" w:type="dxa"/>
            <w:bottom w:w="0" w:type="dxa"/>
            <w:right w:w="108" w:type="dxa"/>
          </w:tblCellMar>
        </w:tblPrEx>
        <w:trPr>
          <w:trHeight w:val="300" w:hRule="atLeast"/>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29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r>
      <w:tr>
        <w:tblPrEx>
          <w:tblCellMar>
            <w:top w:w="0" w:type="dxa"/>
            <w:left w:w="108" w:type="dxa"/>
            <w:bottom w:w="0" w:type="dxa"/>
            <w:right w:w="108" w:type="dxa"/>
          </w:tblCellMar>
        </w:tblPrEx>
        <w:trPr>
          <w:trHeight w:val="300" w:hRule="atLeast"/>
        </w:trPr>
        <w:tc>
          <w:tcPr>
            <w:tcW w:w="1080" w:type="dxa"/>
            <w:vMerge w:val="restart"/>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820" w:type="dxa"/>
            <w:vMerge w:val="restart"/>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p>
            <w:pPr>
              <w:spacing w:line="480" w:lineRule="auto"/>
              <w:jc w:val="center"/>
              <w:rPr>
                <w:rFonts w:ascii="宋体" w:hAnsi="宋体" w:cs="宋体"/>
              </w:rPr>
            </w:pPr>
          </w:p>
        </w:tc>
        <w:tc>
          <w:tcPr>
            <w:tcW w:w="29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r>
      <w:tr>
        <w:tblPrEx>
          <w:tblCellMar>
            <w:top w:w="0" w:type="dxa"/>
            <w:left w:w="108" w:type="dxa"/>
            <w:bottom w:w="0" w:type="dxa"/>
            <w:right w:w="108" w:type="dxa"/>
          </w:tblCellMar>
        </w:tblPrEx>
        <w:trPr>
          <w:trHeight w:val="300" w:hRule="atLeast"/>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820" w:type="dxa"/>
            <w:vMerge w:val="continue"/>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29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r>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108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82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29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ascii="宋体" w:hAnsi="宋体" w:cs="宋体"/>
              </w:rPr>
            </w:pPr>
          </w:p>
        </w:tc>
      </w:tr>
    </w:tbl>
    <w:p>
      <w:pPr>
        <w:spacing w:line="360" w:lineRule="auto"/>
        <w:ind w:firstLine="411" w:firstLineChars="196"/>
        <w:rPr>
          <w:rFonts w:ascii="仿宋_GB2312" w:eastAsia="仿宋_GB2312"/>
          <w:b/>
          <w:szCs w:val="21"/>
        </w:rPr>
      </w:pPr>
      <w:r>
        <w:rPr>
          <w:rFonts w:hint="eastAsia" w:eastAsia="仿宋_GB2312"/>
          <w:color w:val="000000"/>
        </w:rPr>
        <w:t>填表单位：（盖章）填表人：联系电话：填表日期：</w:t>
      </w:r>
    </w:p>
    <w:p>
      <w:pPr>
        <w:ind w:firstLine="420" w:firstLineChars="200"/>
        <w:rPr>
          <w:rFonts w:eastAsia="仿宋_GB2312"/>
          <w:b/>
          <w:color w:val="000000"/>
          <w:szCs w:val="21"/>
        </w:rPr>
      </w:pPr>
      <w:r>
        <w:rPr>
          <w:rFonts w:hint="eastAsia" w:eastAsia="仿宋_GB2312"/>
          <w:color w:val="000000"/>
        </w:rPr>
        <w:t>填表说明</w:t>
      </w:r>
      <w:r>
        <w:rPr>
          <w:rFonts w:eastAsia="仿宋_GB2312"/>
          <w:color w:val="000000"/>
        </w:rPr>
        <w:t>:</w:t>
      </w:r>
      <w:r>
        <w:rPr>
          <w:rFonts w:hint="eastAsia" w:eastAsia="仿宋_GB2312"/>
          <w:color w:val="000000"/>
        </w:rPr>
        <w:t>表中每项指标的填写要求请登录《全国水生生物资源养护信息系统》查看“资源养护信息采集</w:t>
      </w:r>
      <w:r>
        <w:rPr>
          <w:rFonts w:eastAsia="仿宋_GB2312"/>
          <w:color w:val="000000"/>
        </w:rPr>
        <w:t>-</w:t>
      </w:r>
      <w:r>
        <w:rPr>
          <w:rFonts w:hint="eastAsia" w:eastAsia="仿宋_GB2312"/>
          <w:color w:val="000000"/>
        </w:rPr>
        <w:t>数据报送</w:t>
      </w:r>
      <w:r>
        <w:rPr>
          <w:rFonts w:eastAsia="仿宋_GB2312"/>
          <w:color w:val="000000"/>
        </w:rPr>
        <w:t>-</w:t>
      </w:r>
      <w:r>
        <w:rPr>
          <w:rFonts w:hint="eastAsia" w:eastAsia="仿宋_GB2312"/>
          <w:color w:val="000000"/>
        </w:rPr>
        <w:t>每个基础报表的填报说明”。</w:t>
      </w:r>
      <w:r>
        <w:rPr>
          <w:rFonts w:hint="eastAsia" w:eastAsia="仿宋_GB2312"/>
          <w:b/>
          <w:color w:val="000000"/>
          <w:szCs w:val="21"/>
        </w:rPr>
        <w:t>注意：资金来源项中中央投资栏仅填写中央财政农业资源及生态保护补助项目增殖放流资金，不包括中央财政渔业油价补贴项目中各地自行统筹用于增殖放流的资金。各地渔业油价补贴项目增殖放流统筹资金作为省级投资进行填写。</w:t>
      </w:r>
    </w:p>
    <w:p>
      <w:pPr>
        <w:spacing w:line="360" w:lineRule="auto"/>
        <w:ind w:firstLine="420" w:firstLineChars="200"/>
        <w:rPr>
          <w:rFonts w:ascii="宋体"/>
          <w:szCs w:val="21"/>
        </w:rPr>
      </w:pPr>
    </w:p>
    <w:p>
      <w:pPr>
        <w:autoSpaceDE w:val="0"/>
        <w:autoSpaceDN w:val="0"/>
        <w:adjustRightInd w:val="0"/>
        <w:jc w:val="left"/>
        <w:rPr>
          <w:rFonts w:eastAsia="仿宋_GB2312"/>
          <w:color w:val="000000"/>
          <w:sz w:val="30"/>
          <w:lang w:val="nb-NO"/>
        </w:rPr>
      </w:pPr>
      <w:r>
        <w:rPr>
          <w:rFonts w:ascii="宋体"/>
          <w:szCs w:val="21"/>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2-6</w:t>
      </w:r>
    </w:p>
    <w:p>
      <w:pPr>
        <w:jc w:val="center"/>
        <w:rPr>
          <w:rFonts w:eastAsia="黑体"/>
          <w:color w:val="000000"/>
          <w:sz w:val="30"/>
        </w:rPr>
      </w:pPr>
      <w:r>
        <w:rPr>
          <w:rFonts w:hint="eastAsia" w:eastAsia="黑体"/>
          <w:color w:val="000000"/>
          <w:sz w:val="30"/>
        </w:rPr>
        <w:t>渔业水域污染事故情况调查统计表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152"/>
        <w:gridCol w:w="840"/>
        <w:gridCol w:w="1155"/>
        <w:gridCol w:w="1260"/>
        <w:gridCol w:w="675"/>
        <w:gridCol w:w="900"/>
        <w:gridCol w:w="1440"/>
        <w:gridCol w:w="1500"/>
        <w:gridCol w:w="945"/>
        <w:gridCol w:w="1335"/>
        <w:gridCol w:w="1008"/>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编号</w:t>
            </w:r>
          </w:p>
        </w:tc>
        <w:tc>
          <w:tcPr>
            <w:tcW w:w="1152"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污染事故名称</w:t>
            </w:r>
          </w:p>
        </w:tc>
        <w:tc>
          <w:tcPr>
            <w:tcW w:w="84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发生</w:t>
            </w:r>
          </w:p>
          <w:p>
            <w:pPr>
              <w:jc w:val="center"/>
              <w:rPr>
                <w:rFonts w:eastAsia="黑体"/>
                <w:color w:val="000000"/>
                <w:position w:val="-24"/>
              </w:rPr>
            </w:pPr>
            <w:r>
              <w:rPr>
                <w:rFonts w:hint="eastAsia" w:eastAsia="黑体"/>
                <w:color w:val="000000"/>
                <w:position w:val="-24"/>
              </w:rPr>
              <w:t>时间</w:t>
            </w:r>
          </w:p>
        </w:tc>
        <w:tc>
          <w:tcPr>
            <w:tcW w:w="1155"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污染地点</w:t>
            </w:r>
          </w:p>
        </w:tc>
        <w:tc>
          <w:tcPr>
            <w:tcW w:w="126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污染面积</w:t>
            </w:r>
          </w:p>
          <w:p>
            <w:pPr>
              <w:jc w:val="center"/>
              <w:rPr>
                <w:rFonts w:eastAsia="黑体"/>
                <w:color w:val="000000"/>
                <w:position w:val="-24"/>
              </w:rPr>
            </w:pPr>
            <w:r>
              <w:rPr>
                <w:rFonts w:hint="eastAsia" w:eastAsia="黑体"/>
                <w:color w:val="000000"/>
                <w:position w:val="-24"/>
              </w:rPr>
              <w:t>（公顷）</w:t>
            </w:r>
          </w:p>
        </w:tc>
        <w:tc>
          <w:tcPr>
            <w:tcW w:w="675"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损失种类</w:t>
            </w:r>
          </w:p>
        </w:tc>
        <w:tc>
          <w:tcPr>
            <w:tcW w:w="90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损失数量（吨）</w:t>
            </w:r>
          </w:p>
        </w:tc>
        <w:tc>
          <w:tcPr>
            <w:tcW w:w="144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天然资源，还是人工养殖</w:t>
            </w:r>
          </w:p>
        </w:tc>
        <w:tc>
          <w:tcPr>
            <w:tcW w:w="150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污染源及造成污染的原因</w:t>
            </w:r>
          </w:p>
        </w:tc>
        <w:tc>
          <w:tcPr>
            <w:tcW w:w="945"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主要污染物</w:t>
            </w:r>
          </w:p>
        </w:tc>
        <w:tc>
          <w:tcPr>
            <w:tcW w:w="1335"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经济损失情况（万元）</w:t>
            </w:r>
          </w:p>
        </w:tc>
        <w:tc>
          <w:tcPr>
            <w:tcW w:w="1008"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责任方</w:t>
            </w:r>
          </w:p>
        </w:tc>
        <w:tc>
          <w:tcPr>
            <w:tcW w:w="1785"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lang w:val="nb-NO"/>
              </w:rPr>
            </w:pPr>
            <w:r>
              <w:rPr>
                <w:rFonts w:hint="eastAsia" w:eastAsia="黑体"/>
                <w:color w:val="000000"/>
                <w:lang w:val="nb-NO"/>
              </w:rPr>
              <w:t>赔偿</w:t>
            </w:r>
          </w:p>
          <w:p>
            <w:pPr>
              <w:jc w:val="center"/>
              <w:rPr>
                <w:rFonts w:eastAsia="黑体"/>
                <w:color w:val="000000"/>
                <w:lang w:val="nb-NO"/>
              </w:rPr>
            </w:pPr>
            <w:r>
              <w:rPr>
                <w:rFonts w:hint="eastAsia" w:eastAsia="黑体"/>
                <w:color w:val="000000"/>
                <w:lang w:val="nb-NO"/>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6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5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4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33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00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78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6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5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4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33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00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78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6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5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4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33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00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78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6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5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4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33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00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78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6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5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4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33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00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78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6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5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4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33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00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78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9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6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5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4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33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00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78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645" w:type="dxa"/>
            <w:gridSpan w:val="4"/>
            <w:tcBorders>
              <w:top w:val="single" w:color="auto" w:sz="4" w:space="0"/>
              <w:left w:val="single" w:color="auto" w:sz="4" w:space="0"/>
              <w:bottom w:val="single" w:color="auto" w:sz="4" w:space="0"/>
              <w:right w:val="single" w:color="auto" w:sz="4" w:space="0"/>
            </w:tcBorders>
            <w:noWrap/>
            <w:vAlign w:val="bottom"/>
          </w:tcPr>
          <w:p>
            <w:pPr>
              <w:spacing w:line="480" w:lineRule="auto"/>
              <w:jc w:val="center"/>
              <w:rPr>
                <w:rFonts w:eastAsia="黑体"/>
                <w:color w:val="000000"/>
                <w:lang w:val="nb-NO"/>
              </w:rPr>
            </w:pPr>
            <w:r>
              <w:rPr>
                <w:rFonts w:hint="eastAsia" w:eastAsia="黑体"/>
                <w:color w:val="000000"/>
                <w:lang w:val="nb-NO"/>
              </w:rPr>
              <w:t>合计</w:t>
            </w:r>
          </w:p>
        </w:tc>
        <w:tc>
          <w:tcPr>
            <w:tcW w:w="1260" w:type="dxa"/>
            <w:tcBorders>
              <w:top w:val="single" w:color="auto" w:sz="4" w:space="0"/>
              <w:left w:val="single" w:color="auto" w:sz="4" w:space="0"/>
              <w:bottom w:val="single" w:color="auto" w:sz="4" w:space="0"/>
              <w:right w:val="single" w:color="auto" w:sz="4" w:space="0"/>
            </w:tcBorders>
            <w:noWrap/>
            <w:vAlign w:val="bottom"/>
          </w:tcPr>
          <w:p>
            <w:pPr>
              <w:spacing w:line="480" w:lineRule="auto"/>
              <w:jc w:val="center"/>
              <w:rPr>
                <w:rFonts w:eastAsia="仿宋_GB2312"/>
                <w:color w:val="000000"/>
                <w:sz w:val="24"/>
              </w:rPr>
            </w:pPr>
          </w:p>
        </w:tc>
        <w:tc>
          <w:tcPr>
            <w:tcW w:w="67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500"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94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33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008"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1785" w:type="dxa"/>
            <w:tcBorders>
              <w:top w:val="single" w:color="auto" w:sz="4" w:space="0"/>
              <w:left w:val="single" w:color="auto" w:sz="4" w:space="0"/>
              <w:bottom w:val="single" w:color="auto" w:sz="4" w:space="0"/>
              <w:right w:val="single" w:color="auto" w:sz="4" w:space="0"/>
            </w:tcBorders>
            <w:noWrap/>
            <w:vAlign w:val="bottom"/>
          </w:tcPr>
          <w:p>
            <w:pPr>
              <w:spacing w:line="480" w:lineRule="auto"/>
              <w:jc w:val="center"/>
              <w:rPr>
                <w:rFonts w:eastAsia="仿宋_GB2312"/>
                <w:color w:val="000000"/>
                <w:sz w:val="24"/>
              </w:rPr>
            </w:pPr>
          </w:p>
        </w:tc>
      </w:tr>
    </w:tbl>
    <w:p>
      <w:pPr>
        <w:ind w:firstLine="480"/>
        <w:rPr>
          <w:rFonts w:eastAsia="仿宋_GB2312"/>
          <w:color w:val="000000"/>
        </w:rPr>
      </w:pPr>
      <w:r>
        <w:rPr>
          <w:rFonts w:hint="eastAsia" w:eastAsia="仿宋_GB2312"/>
          <w:color w:val="000000"/>
        </w:rPr>
        <w:t>填表单位：（盖章）填表人：联系电话：填表日期：</w:t>
      </w:r>
    </w:p>
    <w:p>
      <w:pPr>
        <w:spacing w:line="360" w:lineRule="auto"/>
        <w:ind w:firstLine="420" w:firstLineChars="200"/>
        <w:rPr>
          <w:rFonts w:eastAsia="仿宋_GB2312"/>
          <w:color w:val="000000"/>
          <w:sz w:val="30"/>
        </w:rPr>
      </w:pPr>
      <w:r>
        <w:rPr>
          <w:rFonts w:hint="eastAsia" w:eastAsia="仿宋_GB2312"/>
          <w:color w:val="000000"/>
        </w:rPr>
        <w:t>填表说明</w:t>
      </w:r>
      <w:r>
        <w:rPr>
          <w:rFonts w:eastAsia="仿宋_GB2312"/>
          <w:color w:val="000000"/>
        </w:rPr>
        <w:t>:</w:t>
      </w:r>
      <w:r>
        <w:rPr>
          <w:rFonts w:hint="eastAsia" w:eastAsia="仿宋_GB2312"/>
          <w:color w:val="000000"/>
        </w:rPr>
        <w:t>表中每项指标的填写要求请登录《全国水生生物资源养护信息系统》查看“资源养护信息采集</w:t>
      </w:r>
      <w:r>
        <w:rPr>
          <w:rFonts w:eastAsia="仿宋_GB2312"/>
          <w:color w:val="000000"/>
        </w:rPr>
        <w:t>-</w:t>
      </w:r>
      <w:r>
        <w:rPr>
          <w:rFonts w:hint="eastAsia" w:eastAsia="仿宋_GB2312"/>
          <w:color w:val="000000"/>
        </w:rPr>
        <w:t>数据报送</w:t>
      </w:r>
      <w:r>
        <w:rPr>
          <w:rFonts w:eastAsia="仿宋_GB2312"/>
          <w:color w:val="000000"/>
        </w:rPr>
        <w:t>-</w:t>
      </w:r>
      <w:r>
        <w:rPr>
          <w:rFonts w:hint="eastAsia" w:eastAsia="仿宋_GB2312"/>
          <w:color w:val="000000"/>
        </w:rPr>
        <w:t>每个基础报表的填报说明”。</w:t>
      </w:r>
      <w:r>
        <w:rPr>
          <w:rFonts w:eastAsia="仿宋_GB2312"/>
          <w:color w:val="000000"/>
          <w:sz w:val="24"/>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2-7</w:t>
      </w:r>
    </w:p>
    <w:p>
      <w:pPr>
        <w:jc w:val="center"/>
        <w:rPr>
          <w:rFonts w:eastAsia="黑体"/>
          <w:color w:val="000000"/>
          <w:sz w:val="30"/>
        </w:rPr>
      </w:pPr>
      <w:r>
        <w:rPr>
          <w:rFonts w:hint="eastAsia" w:eastAsia="黑体"/>
          <w:color w:val="000000"/>
          <w:sz w:val="30"/>
        </w:rPr>
        <w:t>渔业生态环境影响评价工作情况调查统计表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152"/>
        <w:gridCol w:w="840"/>
        <w:gridCol w:w="1155"/>
        <w:gridCol w:w="1260"/>
        <w:gridCol w:w="1315"/>
        <w:gridCol w:w="2160"/>
        <w:gridCol w:w="1800"/>
        <w:gridCol w:w="144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编号</w:t>
            </w:r>
          </w:p>
        </w:tc>
        <w:tc>
          <w:tcPr>
            <w:tcW w:w="1152"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项目名称</w:t>
            </w:r>
          </w:p>
        </w:tc>
        <w:tc>
          <w:tcPr>
            <w:tcW w:w="84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评价</w:t>
            </w:r>
          </w:p>
          <w:p>
            <w:pPr>
              <w:jc w:val="center"/>
              <w:rPr>
                <w:rFonts w:eastAsia="黑体"/>
                <w:color w:val="000000"/>
                <w:position w:val="-24"/>
              </w:rPr>
            </w:pPr>
            <w:r>
              <w:rPr>
                <w:rFonts w:hint="eastAsia" w:eastAsia="黑体"/>
                <w:color w:val="000000"/>
                <w:position w:val="-24"/>
              </w:rPr>
              <w:t>时间</w:t>
            </w:r>
          </w:p>
        </w:tc>
        <w:tc>
          <w:tcPr>
            <w:tcW w:w="1155"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项目实施地点</w:t>
            </w:r>
          </w:p>
        </w:tc>
        <w:tc>
          <w:tcPr>
            <w:tcW w:w="126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工程位置</w:t>
            </w:r>
          </w:p>
        </w:tc>
        <w:tc>
          <w:tcPr>
            <w:tcW w:w="1315"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参与情况</w:t>
            </w:r>
          </w:p>
        </w:tc>
        <w:tc>
          <w:tcPr>
            <w:tcW w:w="216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position w:val="-24"/>
              </w:rPr>
            </w:pPr>
            <w:r>
              <w:rPr>
                <w:rFonts w:hint="eastAsia" w:eastAsia="黑体"/>
                <w:color w:val="000000"/>
                <w:position w:val="-24"/>
              </w:rPr>
              <w:t>工程对渔业</w:t>
            </w:r>
            <w:r>
              <w:rPr>
                <w:rFonts w:eastAsia="黑体"/>
                <w:color w:val="000000"/>
                <w:position w:val="-24"/>
              </w:rPr>
              <w:t>(</w:t>
            </w:r>
            <w:r>
              <w:rPr>
                <w:rFonts w:hint="eastAsia" w:eastAsia="黑体"/>
                <w:color w:val="000000"/>
                <w:position w:val="-24"/>
              </w:rPr>
              <w:t>保护区</w:t>
            </w:r>
            <w:r>
              <w:rPr>
                <w:rFonts w:eastAsia="黑体"/>
                <w:color w:val="000000"/>
                <w:position w:val="-24"/>
              </w:rPr>
              <w:t>)</w:t>
            </w:r>
            <w:r>
              <w:rPr>
                <w:rFonts w:hint="eastAsia" w:eastAsia="黑体"/>
                <w:color w:val="000000"/>
                <w:position w:val="-24"/>
              </w:rPr>
              <w:t>影响情况</w:t>
            </w:r>
          </w:p>
        </w:tc>
        <w:tc>
          <w:tcPr>
            <w:tcW w:w="180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采取措施</w:t>
            </w:r>
          </w:p>
        </w:tc>
        <w:tc>
          <w:tcPr>
            <w:tcW w:w="144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补偿金额（万元）</w:t>
            </w:r>
          </w:p>
        </w:tc>
        <w:tc>
          <w:tcPr>
            <w:tcW w:w="110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315" w:type="dxa"/>
            <w:tcBorders>
              <w:top w:val="single" w:color="auto" w:sz="4" w:space="0"/>
              <w:left w:val="single" w:color="auto" w:sz="4" w:space="0"/>
              <w:bottom w:val="single" w:color="auto" w:sz="4" w:space="0"/>
              <w:right w:val="single" w:color="auto" w:sz="4" w:space="0"/>
            </w:tcBorders>
            <w:noWrap/>
            <w:vAlign w:val="center"/>
          </w:tcPr>
          <w:p>
            <w:pPr>
              <w:spacing w:line="480" w:lineRule="auto"/>
              <w:jc w:val="center"/>
              <w:rPr>
                <w:rFonts w:eastAsia="仿宋_GB2312"/>
                <w:color w:val="000000"/>
                <w:sz w:val="24"/>
              </w:rPr>
            </w:pPr>
          </w:p>
        </w:tc>
        <w:tc>
          <w:tcPr>
            <w:tcW w:w="21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8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31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21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8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31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21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8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31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21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8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31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21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8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686"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2"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8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5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31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21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8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833" w:type="dxa"/>
            <w:gridSpan w:val="4"/>
            <w:tcBorders>
              <w:top w:val="single" w:color="auto" w:sz="4" w:space="0"/>
              <w:left w:val="single" w:color="auto" w:sz="4" w:space="0"/>
              <w:bottom w:val="single" w:color="auto" w:sz="4" w:space="0"/>
              <w:right w:val="single" w:color="auto" w:sz="4" w:space="0"/>
            </w:tcBorders>
            <w:noWrap/>
            <w:vAlign w:val="bottom"/>
          </w:tcPr>
          <w:p>
            <w:pPr>
              <w:spacing w:line="480" w:lineRule="auto"/>
              <w:jc w:val="center"/>
              <w:rPr>
                <w:rFonts w:eastAsia="黑体"/>
                <w:color w:val="000000"/>
              </w:rPr>
            </w:pPr>
            <w:r>
              <w:rPr>
                <w:rFonts w:hint="eastAsia" w:eastAsia="黑体"/>
                <w:color w:val="000000"/>
              </w:rPr>
              <w:t>合计</w:t>
            </w:r>
          </w:p>
        </w:tc>
        <w:tc>
          <w:tcPr>
            <w:tcW w:w="12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315"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216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8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44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c>
          <w:tcPr>
            <w:tcW w:w="1100" w:type="dxa"/>
            <w:tcBorders>
              <w:top w:val="single" w:color="auto" w:sz="4" w:space="0"/>
              <w:left w:val="single" w:color="auto" w:sz="4" w:space="0"/>
              <w:bottom w:val="single" w:color="auto" w:sz="4" w:space="0"/>
              <w:right w:val="single" w:color="auto" w:sz="4" w:space="0"/>
            </w:tcBorders>
            <w:noWrap/>
          </w:tcPr>
          <w:p>
            <w:pPr>
              <w:spacing w:line="480" w:lineRule="auto"/>
              <w:jc w:val="center"/>
              <w:rPr>
                <w:rFonts w:eastAsia="仿宋_GB2312"/>
                <w:color w:val="000000"/>
                <w:sz w:val="24"/>
              </w:rPr>
            </w:pPr>
          </w:p>
        </w:tc>
      </w:tr>
    </w:tbl>
    <w:p>
      <w:pPr>
        <w:ind w:firstLine="480"/>
        <w:rPr>
          <w:rFonts w:eastAsia="仿宋_GB2312"/>
          <w:color w:val="000000"/>
        </w:rPr>
      </w:pPr>
      <w:r>
        <w:rPr>
          <w:rFonts w:hint="eastAsia" w:eastAsia="仿宋_GB2312"/>
          <w:color w:val="000000"/>
        </w:rPr>
        <w:t>填表单位：（盖章）填表人：联系电话：填表日期：</w:t>
      </w:r>
    </w:p>
    <w:p>
      <w:pPr>
        <w:spacing w:line="360" w:lineRule="auto"/>
        <w:ind w:firstLine="420" w:firstLineChars="200"/>
        <w:rPr>
          <w:rFonts w:ascii="宋体"/>
          <w:szCs w:val="21"/>
        </w:rPr>
      </w:pPr>
      <w:r>
        <w:rPr>
          <w:rFonts w:hint="eastAsia" w:eastAsia="仿宋_GB2312"/>
          <w:color w:val="000000"/>
        </w:rPr>
        <w:t>填表说明</w:t>
      </w:r>
      <w:r>
        <w:rPr>
          <w:rFonts w:eastAsia="仿宋_GB2312"/>
          <w:color w:val="000000"/>
        </w:rPr>
        <w:t>:</w:t>
      </w:r>
      <w:r>
        <w:rPr>
          <w:rFonts w:hint="eastAsia" w:eastAsia="仿宋_GB2312"/>
          <w:color w:val="000000"/>
        </w:rPr>
        <w:t>表中每项指标的填写要求请登录《全国水生生物资源养护信息系统》查看“资源养护信息采集</w:t>
      </w:r>
      <w:r>
        <w:rPr>
          <w:rFonts w:eastAsia="仿宋_GB2312"/>
          <w:color w:val="000000"/>
        </w:rPr>
        <w:t>-</w:t>
      </w:r>
      <w:r>
        <w:rPr>
          <w:rFonts w:hint="eastAsia" w:eastAsia="仿宋_GB2312"/>
          <w:color w:val="000000"/>
        </w:rPr>
        <w:t>数据报送</w:t>
      </w:r>
      <w:r>
        <w:rPr>
          <w:rFonts w:eastAsia="仿宋_GB2312"/>
          <w:color w:val="000000"/>
        </w:rPr>
        <w:t>-</w:t>
      </w:r>
      <w:r>
        <w:rPr>
          <w:rFonts w:hint="eastAsia" w:eastAsia="仿宋_GB2312"/>
          <w:color w:val="000000"/>
        </w:rPr>
        <w:t>每个基础报表的填报说明”。</w:t>
      </w:r>
    </w:p>
    <w:p>
      <w:pPr>
        <w:autoSpaceDE w:val="0"/>
        <w:autoSpaceDN w:val="0"/>
        <w:adjustRightInd w:val="0"/>
        <w:jc w:val="left"/>
        <w:rPr>
          <w:rFonts w:eastAsia="仿宋_GB2312"/>
          <w:color w:val="000000"/>
          <w:sz w:val="30"/>
        </w:rPr>
      </w:pPr>
      <w:r>
        <w:rPr>
          <w:rFonts w:eastAsia="仿宋_GB2312"/>
          <w:color w:val="000000"/>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2-8</w:t>
      </w:r>
    </w:p>
    <w:tbl>
      <w:tblPr>
        <w:tblStyle w:val="5"/>
        <w:tblpPr w:leftFromText="180" w:rightFromText="180" w:vertAnchor="text" w:horzAnchor="margin" w:tblpXSpec="center" w:tblpY="782"/>
        <w:tblW w:w="0" w:type="auto"/>
        <w:tblInd w:w="-5" w:type="dxa"/>
        <w:tblLayout w:type="fixed"/>
        <w:tblCellMar>
          <w:top w:w="0" w:type="dxa"/>
          <w:left w:w="0" w:type="dxa"/>
          <w:bottom w:w="0" w:type="dxa"/>
          <w:right w:w="0" w:type="dxa"/>
        </w:tblCellMar>
      </w:tblPr>
      <w:tblGrid>
        <w:gridCol w:w="1080"/>
        <w:gridCol w:w="1800"/>
        <w:gridCol w:w="1789"/>
        <w:gridCol w:w="2157"/>
        <w:gridCol w:w="8"/>
        <w:gridCol w:w="2154"/>
        <w:gridCol w:w="1982"/>
        <w:gridCol w:w="1445"/>
        <w:gridCol w:w="1445"/>
      </w:tblGrid>
      <w:tr>
        <w:trPr>
          <w:trHeight w:val="46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序号</w:t>
            </w:r>
          </w:p>
        </w:tc>
        <w:tc>
          <w:tcPr>
            <w:tcW w:w="180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禁渔名称</w:t>
            </w:r>
          </w:p>
        </w:tc>
        <w:tc>
          <w:tcPr>
            <w:tcW w:w="1789"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禁渔时间</w:t>
            </w:r>
          </w:p>
        </w:tc>
        <w:tc>
          <w:tcPr>
            <w:tcW w:w="2165"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禁渔范围</w:t>
            </w:r>
          </w:p>
        </w:tc>
        <w:tc>
          <w:tcPr>
            <w:tcW w:w="2154"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保护对象</w:t>
            </w:r>
          </w:p>
        </w:tc>
        <w:tc>
          <w:tcPr>
            <w:tcW w:w="1982"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禁渔作业类型</w:t>
            </w:r>
          </w:p>
        </w:tc>
        <w:tc>
          <w:tcPr>
            <w:tcW w:w="1445"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涉及渔船数量</w:t>
            </w:r>
          </w:p>
        </w:tc>
        <w:tc>
          <w:tcPr>
            <w:tcW w:w="1445" w:type="dxa"/>
            <w:tcBorders>
              <w:top w:val="single" w:color="auto" w:sz="4" w:space="0"/>
              <w:left w:val="single" w:color="auto" w:sz="4" w:space="0"/>
              <w:bottom w:val="single" w:color="auto" w:sz="4" w:space="0"/>
              <w:right w:val="single" w:color="auto" w:sz="4" w:space="0"/>
            </w:tcBorders>
            <w:noWrap/>
            <w:vAlign w:val="center"/>
          </w:tcPr>
          <w:p>
            <w:pPr>
              <w:ind w:left="430" w:hanging="430"/>
              <w:jc w:val="center"/>
              <w:rPr>
                <w:rFonts w:eastAsia="黑体"/>
                <w:color w:val="000000"/>
              </w:rPr>
            </w:pPr>
            <w:r>
              <w:rPr>
                <w:rFonts w:hint="eastAsia" w:eastAsia="黑体"/>
                <w:color w:val="000000"/>
              </w:rPr>
              <w:t>涉及渔民数量</w:t>
            </w:r>
          </w:p>
        </w:tc>
      </w:tr>
      <w:tr>
        <w:tblPrEx>
          <w:tblCellMar>
            <w:top w:w="0" w:type="dxa"/>
            <w:left w:w="0" w:type="dxa"/>
            <w:bottom w:w="0" w:type="dxa"/>
            <w:right w:w="0"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80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78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2"/>
              </w:rPr>
            </w:pPr>
          </w:p>
        </w:tc>
        <w:tc>
          <w:tcPr>
            <w:tcW w:w="2165" w:type="dxa"/>
            <w:gridSpan w:val="2"/>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2154"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982"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r>
      <w:tr>
        <w:tblPrEx>
          <w:tblCellMar>
            <w:top w:w="0" w:type="dxa"/>
            <w:left w:w="0" w:type="dxa"/>
            <w:bottom w:w="0" w:type="dxa"/>
            <w:right w:w="0"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80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78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2"/>
              </w:rPr>
            </w:pPr>
          </w:p>
        </w:tc>
        <w:tc>
          <w:tcPr>
            <w:tcW w:w="2165" w:type="dxa"/>
            <w:gridSpan w:val="2"/>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2154"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982"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r>
      <w:tr>
        <w:tblPrEx>
          <w:tblCellMar>
            <w:top w:w="0" w:type="dxa"/>
            <w:left w:w="0" w:type="dxa"/>
            <w:bottom w:w="0" w:type="dxa"/>
            <w:right w:w="0"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80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78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2"/>
              </w:rPr>
            </w:pPr>
          </w:p>
        </w:tc>
        <w:tc>
          <w:tcPr>
            <w:tcW w:w="2165" w:type="dxa"/>
            <w:gridSpan w:val="2"/>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2154"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982"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r>
      <w:tr>
        <w:tblPrEx>
          <w:tblCellMar>
            <w:top w:w="0" w:type="dxa"/>
            <w:left w:w="0" w:type="dxa"/>
            <w:bottom w:w="0" w:type="dxa"/>
            <w:right w:w="0"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80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78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2"/>
              </w:rPr>
            </w:pPr>
          </w:p>
        </w:tc>
        <w:tc>
          <w:tcPr>
            <w:tcW w:w="2165" w:type="dxa"/>
            <w:gridSpan w:val="2"/>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2154"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982"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r>
      <w:tr>
        <w:tblPrEx>
          <w:tblCellMar>
            <w:top w:w="0" w:type="dxa"/>
            <w:left w:w="0" w:type="dxa"/>
            <w:bottom w:w="0" w:type="dxa"/>
            <w:right w:w="0"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80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78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2"/>
              </w:rPr>
            </w:pPr>
          </w:p>
        </w:tc>
        <w:tc>
          <w:tcPr>
            <w:tcW w:w="2165" w:type="dxa"/>
            <w:gridSpan w:val="2"/>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2154"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982"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r>
      <w:tr>
        <w:tblPrEx>
          <w:tblCellMar>
            <w:top w:w="0" w:type="dxa"/>
            <w:left w:w="0" w:type="dxa"/>
            <w:bottom w:w="0" w:type="dxa"/>
            <w:right w:w="0" w:type="dxa"/>
          </w:tblCellMar>
        </w:tblPrEx>
        <w:trPr>
          <w:trHeight w:val="285" w:hRule="atLeast"/>
        </w:trPr>
        <w:tc>
          <w:tcPr>
            <w:tcW w:w="108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800"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78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2"/>
              </w:rPr>
            </w:pPr>
          </w:p>
        </w:tc>
        <w:tc>
          <w:tcPr>
            <w:tcW w:w="2165" w:type="dxa"/>
            <w:gridSpan w:val="2"/>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2154"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982"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sz w:val="32"/>
              </w:rPr>
            </w:pPr>
            <w:r>
              <w:rPr>
                <w:rFonts w:hint="eastAsia" w:eastAsia="仿宋_GB2312"/>
                <w:color w:val="000000"/>
                <w:sz w:val="32"/>
              </w:rPr>
              <w:t>　</w:t>
            </w:r>
          </w:p>
        </w:tc>
      </w:tr>
      <w:tr>
        <w:tblPrEx>
          <w:tblCellMar>
            <w:top w:w="0" w:type="dxa"/>
            <w:left w:w="0" w:type="dxa"/>
            <w:bottom w:w="0" w:type="dxa"/>
            <w:right w:w="0" w:type="dxa"/>
          </w:tblCellMar>
        </w:tblPrEx>
        <w:trPr>
          <w:trHeight w:val="580" w:hRule="atLeast"/>
        </w:trPr>
        <w:tc>
          <w:tcPr>
            <w:tcW w:w="288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合计</w:t>
            </w:r>
          </w:p>
        </w:tc>
        <w:tc>
          <w:tcPr>
            <w:tcW w:w="1789"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rPr>
            </w:pPr>
            <w:r>
              <w:rPr>
                <w:rFonts w:hint="eastAsia" w:eastAsia="仿宋_GB2312"/>
                <w:color w:val="000000"/>
              </w:rPr>
              <w:t>　</w:t>
            </w:r>
          </w:p>
        </w:tc>
        <w:tc>
          <w:tcPr>
            <w:tcW w:w="2157" w:type="dxa"/>
            <w:tcBorders>
              <w:top w:val="single" w:color="auto" w:sz="4" w:space="0"/>
              <w:left w:val="single" w:color="auto" w:sz="4" w:space="0"/>
              <w:bottom w:val="single" w:color="auto" w:sz="4" w:space="0"/>
              <w:right w:val="single" w:color="auto" w:sz="4" w:space="0"/>
            </w:tcBorders>
            <w:noWrap/>
          </w:tcPr>
          <w:p>
            <w:pPr>
              <w:rPr>
                <w:rFonts w:eastAsia="仿宋_GB2312"/>
                <w:color w:val="000000"/>
              </w:rPr>
            </w:pPr>
          </w:p>
        </w:tc>
        <w:tc>
          <w:tcPr>
            <w:tcW w:w="2162" w:type="dxa"/>
            <w:gridSpan w:val="2"/>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rPr>
            </w:pPr>
            <w:r>
              <w:rPr>
                <w:rFonts w:hint="eastAsia" w:eastAsia="仿宋_GB2312"/>
                <w:color w:val="000000"/>
              </w:rPr>
              <w:t>　</w:t>
            </w:r>
          </w:p>
        </w:tc>
        <w:tc>
          <w:tcPr>
            <w:tcW w:w="1982"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rPr>
            </w:pPr>
            <w:r>
              <w:rPr>
                <w:rFonts w:hint="eastAsia" w:eastAsia="仿宋_GB2312"/>
                <w:color w:val="000000"/>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rPr>
            </w:pPr>
            <w:r>
              <w:rPr>
                <w:rFonts w:hint="eastAsia" w:eastAsia="仿宋_GB2312"/>
                <w:color w:val="000000"/>
              </w:rPr>
              <w:t>　</w:t>
            </w:r>
          </w:p>
        </w:tc>
        <w:tc>
          <w:tcPr>
            <w:tcW w:w="1445" w:type="dxa"/>
            <w:tcBorders>
              <w:top w:val="single" w:color="auto" w:sz="4" w:space="0"/>
              <w:left w:val="single" w:color="auto" w:sz="4" w:space="0"/>
              <w:bottom w:val="single" w:color="auto" w:sz="4" w:space="0"/>
              <w:right w:val="single" w:color="auto" w:sz="4" w:space="0"/>
            </w:tcBorders>
            <w:noWrap/>
            <w:vAlign w:val="bottom"/>
          </w:tcPr>
          <w:p>
            <w:pPr>
              <w:rPr>
                <w:rFonts w:eastAsia="仿宋_GB2312"/>
                <w:color w:val="000000"/>
              </w:rPr>
            </w:pPr>
            <w:r>
              <w:rPr>
                <w:rFonts w:hint="eastAsia" w:eastAsia="仿宋_GB2312"/>
                <w:color w:val="000000"/>
              </w:rPr>
              <w:t>　</w:t>
            </w:r>
          </w:p>
        </w:tc>
      </w:tr>
    </w:tbl>
    <w:p>
      <w:pPr>
        <w:ind w:firstLine="482"/>
        <w:jc w:val="center"/>
        <w:rPr>
          <w:rFonts w:eastAsia="黑体"/>
          <w:color w:val="000000"/>
          <w:sz w:val="30"/>
        </w:rPr>
      </w:pPr>
      <w:r>
        <w:rPr>
          <w:rFonts w:hint="eastAsia" w:eastAsia="黑体"/>
          <w:color w:val="000000"/>
          <w:sz w:val="30"/>
        </w:rPr>
        <w:t>禁渔区和禁渔期制度实施情况统计表</w:t>
      </w:r>
    </w:p>
    <w:p>
      <w:pPr>
        <w:spacing w:line="360" w:lineRule="auto"/>
        <w:rPr>
          <w:rFonts w:eastAsia="仿宋_GB2312"/>
          <w:color w:val="000000"/>
          <w:sz w:val="28"/>
        </w:rPr>
      </w:pPr>
      <w:r>
        <w:rPr>
          <w:rFonts w:hint="eastAsia" w:eastAsia="仿宋_GB2312"/>
          <w:color w:val="000000"/>
        </w:rPr>
        <w:t>填表单位：（盖章）填表人：联系电话：填表日期：</w:t>
      </w:r>
    </w:p>
    <w:p>
      <w:pPr>
        <w:rPr>
          <w:rFonts w:ascii="宋体"/>
          <w:szCs w:val="21"/>
        </w:rPr>
      </w:pPr>
      <w:r>
        <w:rPr>
          <w:rFonts w:hint="eastAsia" w:eastAsia="仿宋_GB2312"/>
          <w:color w:val="000000"/>
        </w:rPr>
        <w:t>填表说明</w:t>
      </w:r>
      <w:r>
        <w:rPr>
          <w:rFonts w:eastAsia="仿宋_GB2312"/>
          <w:color w:val="000000"/>
        </w:rPr>
        <w:t>:</w:t>
      </w:r>
      <w:r>
        <w:rPr>
          <w:rFonts w:hint="eastAsia" w:eastAsia="仿宋_GB2312"/>
          <w:color w:val="000000"/>
        </w:rPr>
        <w:t>包括海洋伏季休渔制度、长江、珠江等内陆水域禁渔期制度以及各海区、省</w:t>
      </w:r>
      <w:r>
        <w:rPr>
          <w:rFonts w:eastAsia="仿宋_GB2312"/>
          <w:color w:val="000000"/>
        </w:rPr>
        <w:t>(</w:t>
      </w:r>
      <w:r>
        <w:rPr>
          <w:rFonts w:hint="eastAsia" w:eastAsia="仿宋_GB2312"/>
          <w:color w:val="000000"/>
        </w:rPr>
        <w:t>自治区、直辖市</w:t>
      </w:r>
      <w:r>
        <w:rPr>
          <w:rFonts w:eastAsia="仿宋_GB2312"/>
          <w:color w:val="000000"/>
        </w:rPr>
        <w:t>)</w:t>
      </w:r>
      <w:r>
        <w:rPr>
          <w:rFonts w:hint="eastAsia" w:eastAsia="仿宋_GB2312"/>
          <w:color w:val="000000"/>
        </w:rPr>
        <w:t>自行组织的禁渔区和禁渔期制度。表中每项指标的填写要求请登录《全国水生生物资源养护信息系统》查看“资源养护信息采集</w:t>
      </w:r>
      <w:r>
        <w:rPr>
          <w:rFonts w:eastAsia="仿宋_GB2312"/>
          <w:color w:val="000000"/>
        </w:rPr>
        <w:t>-</w:t>
      </w:r>
      <w:r>
        <w:rPr>
          <w:rFonts w:hint="eastAsia" w:eastAsia="仿宋_GB2312"/>
          <w:color w:val="000000"/>
        </w:rPr>
        <w:t>数据报送</w:t>
      </w:r>
      <w:r>
        <w:rPr>
          <w:rFonts w:eastAsia="仿宋_GB2312"/>
          <w:color w:val="000000"/>
        </w:rPr>
        <w:t>-</w:t>
      </w:r>
      <w:r>
        <w:rPr>
          <w:rFonts w:hint="eastAsia" w:eastAsia="仿宋_GB2312"/>
          <w:color w:val="000000"/>
        </w:rPr>
        <w:t>每个基础报表的填报说明”。</w:t>
      </w:r>
    </w:p>
    <w:p>
      <w:pPr>
        <w:autoSpaceDE w:val="0"/>
        <w:autoSpaceDN w:val="0"/>
        <w:adjustRightInd w:val="0"/>
        <w:jc w:val="left"/>
        <w:rPr>
          <w:rFonts w:eastAsia="仿宋_GB2312"/>
          <w:color w:val="000000"/>
          <w:sz w:val="30"/>
        </w:rPr>
      </w:pPr>
      <w:r>
        <w:rPr>
          <w:rFonts w:eastAsia="仿宋_GB2312"/>
          <w:b/>
          <w:color w:val="000000"/>
          <w:sz w:val="24"/>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2-9</w:t>
      </w:r>
    </w:p>
    <w:p>
      <w:pPr>
        <w:jc w:val="center"/>
        <w:rPr>
          <w:rFonts w:eastAsia="黑体"/>
          <w:color w:val="000000"/>
          <w:sz w:val="30"/>
        </w:rPr>
      </w:pPr>
      <w:r>
        <w:rPr>
          <w:rFonts w:hint="eastAsia" w:eastAsia="黑体"/>
          <w:color w:val="000000"/>
          <w:sz w:val="30"/>
        </w:rPr>
        <w:t>新建自然保护区、水产种质资源保护区情况调查统计表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601"/>
        <w:gridCol w:w="1119"/>
        <w:gridCol w:w="1601"/>
        <w:gridCol w:w="1842"/>
        <w:gridCol w:w="1601"/>
        <w:gridCol w:w="930"/>
        <w:gridCol w:w="1566"/>
        <w:gridCol w:w="124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exact"/>
          <w:jc w:val="center"/>
        </w:trPr>
        <w:tc>
          <w:tcPr>
            <w:tcW w:w="468"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序号</w:t>
            </w:r>
          </w:p>
        </w:tc>
        <w:tc>
          <w:tcPr>
            <w:tcW w:w="1601"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保护区名称</w:t>
            </w:r>
          </w:p>
        </w:tc>
        <w:tc>
          <w:tcPr>
            <w:tcW w:w="1119"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所在地及地理坐标</w:t>
            </w:r>
          </w:p>
        </w:tc>
        <w:tc>
          <w:tcPr>
            <w:tcW w:w="1601"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保护区面积（公顷）</w:t>
            </w:r>
          </w:p>
        </w:tc>
        <w:tc>
          <w:tcPr>
            <w:tcW w:w="1842"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主要保护对象</w:t>
            </w:r>
          </w:p>
        </w:tc>
        <w:tc>
          <w:tcPr>
            <w:tcW w:w="1601"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保护区类型</w:t>
            </w:r>
          </w:p>
        </w:tc>
        <w:tc>
          <w:tcPr>
            <w:tcW w:w="930"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级别</w:t>
            </w:r>
          </w:p>
        </w:tc>
        <w:tc>
          <w:tcPr>
            <w:tcW w:w="1566"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建立（晋升）时间</w:t>
            </w:r>
          </w:p>
        </w:tc>
        <w:tc>
          <w:tcPr>
            <w:tcW w:w="1246"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批准文件</w:t>
            </w:r>
          </w:p>
        </w:tc>
        <w:tc>
          <w:tcPr>
            <w:tcW w:w="1246" w:type="dxa"/>
            <w:tcBorders>
              <w:top w:val="single" w:color="auto" w:sz="4" w:space="0"/>
              <w:left w:val="single" w:color="auto" w:sz="4" w:space="0"/>
              <w:bottom w:val="single" w:color="auto" w:sz="4" w:space="0"/>
              <w:right w:val="single" w:color="auto" w:sz="4" w:space="0"/>
            </w:tcBorders>
            <w:noWrap/>
            <w:vAlign w:val="center"/>
          </w:tcPr>
          <w:p>
            <w:pPr>
              <w:jc w:val="center"/>
              <w:rPr>
                <w:rFonts w:eastAsia="黑体"/>
                <w:color w:val="000000"/>
              </w:rPr>
            </w:pPr>
            <w:r>
              <w:rPr>
                <w:rFonts w:hint="eastAsia" w:eastAsia="黑体"/>
                <w:color w:val="000000"/>
              </w:rPr>
              <w:t>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exact"/>
          <w:jc w:val="center"/>
        </w:trPr>
        <w:tc>
          <w:tcPr>
            <w:tcW w:w="468"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11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842"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930"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56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24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24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exact"/>
          <w:jc w:val="center"/>
        </w:trPr>
        <w:tc>
          <w:tcPr>
            <w:tcW w:w="468"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11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842"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930"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56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24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24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exact"/>
          <w:jc w:val="center"/>
        </w:trPr>
        <w:tc>
          <w:tcPr>
            <w:tcW w:w="468"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11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842"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930"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56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24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24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exact"/>
          <w:jc w:val="center"/>
        </w:trPr>
        <w:tc>
          <w:tcPr>
            <w:tcW w:w="468"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119"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842"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601"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930"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56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24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c>
          <w:tcPr>
            <w:tcW w:w="1246" w:type="dxa"/>
            <w:tcBorders>
              <w:top w:val="single" w:color="auto" w:sz="4" w:space="0"/>
              <w:left w:val="single" w:color="auto" w:sz="4" w:space="0"/>
              <w:bottom w:val="single" w:color="auto" w:sz="4" w:space="0"/>
              <w:right w:val="single" w:color="auto" w:sz="4" w:space="0"/>
            </w:tcBorders>
            <w:noWrap/>
          </w:tcPr>
          <w:p>
            <w:pPr>
              <w:rPr>
                <w:rFonts w:eastAsia="仿宋_GB2312"/>
                <w:color w:val="000000"/>
                <w:sz w:val="30"/>
              </w:rPr>
            </w:pPr>
          </w:p>
        </w:tc>
      </w:tr>
    </w:tbl>
    <w:p>
      <w:pPr>
        <w:spacing w:line="360" w:lineRule="exact"/>
        <w:rPr>
          <w:rFonts w:eastAsia="仿宋_GB2312"/>
          <w:color w:val="000000"/>
        </w:rPr>
      </w:pPr>
      <w:r>
        <w:rPr>
          <w:rFonts w:hint="eastAsia" w:eastAsia="仿宋_GB2312"/>
          <w:color w:val="000000"/>
        </w:rPr>
        <w:t>填表单位：（盖章）填表人：联系电话：填表日期：</w:t>
      </w:r>
    </w:p>
    <w:p>
      <w:pPr>
        <w:rPr>
          <w:rFonts w:ascii="宋体"/>
          <w:szCs w:val="21"/>
        </w:rPr>
      </w:pPr>
      <w:r>
        <w:rPr>
          <w:rFonts w:hint="eastAsia" w:eastAsia="仿宋_GB2312"/>
          <w:color w:val="000000"/>
          <w:lang w:val="nb-NO"/>
        </w:rPr>
        <w:t>填表说明：</w:t>
      </w:r>
      <w:r>
        <w:rPr>
          <w:rFonts w:hint="eastAsia" w:eastAsia="仿宋_GB2312"/>
          <w:color w:val="000000"/>
        </w:rPr>
        <w:t>表中每项指标的填写要求请登录《全国水生生物资源养护信息系统》查看“资源养护信息采集</w:t>
      </w:r>
      <w:r>
        <w:rPr>
          <w:rFonts w:eastAsia="仿宋_GB2312"/>
          <w:color w:val="000000"/>
        </w:rPr>
        <w:t>-</w:t>
      </w:r>
      <w:r>
        <w:rPr>
          <w:rFonts w:hint="eastAsia" w:eastAsia="仿宋_GB2312"/>
          <w:color w:val="000000"/>
        </w:rPr>
        <w:t>数据报送</w:t>
      </w:r>
      <w:r>
        <w:rPr>
          <w:rFonts w:eastAsia="仿宋_GB2312"/>
          <w:color w:val="000000"/>
        </w:rPr>
        <w:t>-</w:t>
      </w:r>
      <w:r>
        <w:rPr>
          <w:rFonts w:hint="eastAsia" w:eastAsia="仿宋_GB2312"/>
          <w:color w:val="000000"/>
        </w:rPr>
        <w:t>每个基础报表的填报说明”。</w:t>
      </w:r>
    </w:p>
    <w:p>
      <w:pPr>
        <w:rPr>
          <w:rFonts w:eastAsia="仿宋_GB2312"/>
          <w:color w:val="000000"/>
          <w:sz w:val="30"/>
          <w:lang w:val="nb-NO"/>
        </w:rPr>
      </w:pPr>
      <w:r>
        <w:rPr>
          <w:rFonts w:eastAsia="仿宋_GB2312"/>
          <w:color w:val="000000"/>
          <w:sz w:val="30"/>
          <w:lang w:val="nb-NO"/>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2-10</w:t>
      </w:r>
    </w:p>
    <w:p>
      <w:pPr>
        <w:jc w:val="center"/>
        <w:rPr>
          <w:rFonts w:eastAsia="黑体"/>
          <w:color w:val="000000"/>
          <w:sz w:val="30"/>
        </w:rPr>
      </w:pPr>
      <w:r>
        <w:rPr>
          <w:rFonts w:hint="eastAsia" w:eastAsia="黑体"/>
          <w:color w:val="000000"/>
          <w:sz w:val="30"/>
        </w:rPr>
        <w:t>濒危物种专项救护情况统计表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2676"/>
        <w:gridCol w:w="2677"/>
        <w:gridCol w:w="2677"/>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救护物种</w:t>
            </w: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救护数量（尾、头）</w:t>
            </w: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发现位置</w:t>
            </w: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救护时间</w:t>
            </w: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r>
              <w:rPr>
                <w:rFonts w:hint="eastAsia" w:ascii="黑体" w:eastAsia="黑体"/>
                <w:color w:val="000000"/>
                <w:lang w:val="nb-NO"/>
              </w:rPr>
              <w:t>后续处理情况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6"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c>
          <w:tcPr>
            <w:tcW w:w="2677" w:type="dxa"/>
            <w:tcBorders>
              <w:top w:val="single" w:color="auto" w:sz="4" w:space="0"/>
              <w:left w:val="single" w:color="auto" w:sz="4" w:space="0"/>
              <w:bottom w:val="single" w:color="auto" w:sz="4" w:space="0"/>
              <w:right w:val="single" w:color="auto" w:sz="4" w:space="0"/>
            </w:tcBorders>
            <w:noWrap/>
            <w:vAlign w:val="center"/>
          </w:tcPr>
          <w:p>
            <w:pPr>
              <w:jc w:val="center"/>
              <w:rPr>
                <w:rFonts w:ascii="黑体" w:eastAsia="黑体"/>
                <w:color w:val="000000"/>
                <w:lang w:val="nb-NO"/>
              </w:rPr>
            </w:pPr>
          </w:p>
        </w:tc>
      </w:tr>
    </w:tbl>
    <w:p>
      <w:pPr>
        <w:spacing w:line="360" w:lineRule="exact"/>
        <w:rPr>
          <w:rFonts w:eastAsia="仿宋_GB2312"/>
          <w:color w:val="000000"/>
        </w:rPr>
      </w:pPr>
      <w:r>
        <w:rPr>
          <w:rFonts w:hint="eastAsia" w:eastAsia="仿宋_GB2312"/>
          <w:color w:val="000000"/>
        </w:rPr>
        <w:t>填表单位：（盖章）填表人：联系电话：填表日期：</w:t>
      </w:r>
    </w:p>
    <w:p>
      <w:pPr>
        <w:spacing w:line="360" w:lineRule="auto"/>
        <w:rPr>
          <w:rFonts w:ascii="宋体"/>
          <w:szCs w:val="21"/>
        </w:rPr>
      </w:pPr>
      <w:r>
        <w:rPr>
          <w:rFonts w:hint="eastAsia" w:eastAsia="仿宋_GB2312"/>
          <w:color w:val="000000"/>
        </w:rPr>
        <w:t>填表说明</w:t>
      </w:r>
      <w:r>
        <w:rPr>
          <w:rFonts w:eastAsia="仿宋_GB2312"/>
          <w:color w:val="000000"/>
        </w:rPr>
        <w:t>:</w:t>
      </w:r>
      <w:r>
        <w:rPr>
          <w:rFonts w:hint="eastAsia" w:eastAsia="仿宋_GB2312"/>
          <w:color w:val="000000"/>
        </w:rPr>
        <w:t>表中每项指标的填写要求请登录《全国水生生物资源养护信息系统》查看“资源养护信息采集</w:t>
      </w:r>
      <w:r>
        <w:rPr>
          <w:rFonts w:eastAsia="仿宋_GB2312"/>
          <w:color w:val="000000"/>
        </w:rPr>
        <w:t>-</w:t>
      </w:r>
      <w:r>
        <w:rPr>
          <w:rFonts w:hint="eastAsia" w:eastAsia="仿宋_GB2312"/>
          <w:color w:val="000000"/>
        </w:rPr>
        <w:t>数据报送</w:t>
      </w:r>
      <w:r>
        <w:rPr>
          <w:rFonts w:eastAsia="仿宋_GB2312"/>
          <w:color w:val="000000"/>
        </w:rPr>
        <w:t>-</w:t>
      </w:r>
      <w:r>
        <w:rPr>
          <w:rFonts w:hint="eastAsia" w:eastAsia="仿宋_GB2312"/>
          <w:color w:val="000000"/>
        </w:rPr>
        <w:t>每个基础报表的填报说明”。</w:t>
      </w:r>
    </w:p>
    <w:p>
      <w:pPr>
        <w:spacing w:line="360" w:lineRule="auto"/>
        <w:rPr>
          <w:rFonts w:ascii="黑体" w:hAnsi="宋体" w:eastAsia="黑体" w:cs="AdobeSongStd-Light"/>
          <w:color w:val="000000"/>
          <w:kern w:val="0"/>
          <w:sz w:val="28"/>
          <w:szCs w:val="28"/>
        </w:rPr>
      </w:pPr>
      <w:r>
        <w:rPr>
          <w:rFonts w:eastAsia="仿宋_GB2312"/>
          <w:color w:val="000000"/>
          <w:sz w:val="30"/>
          <w:lang w:val="nb-NO"/>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2-11</w:t>
      </w:r>
    </w:p>
    <w:p>
      <w:pPr>
        <w:ind w:firstLine="482"/>
        <w:rPr>
          <w:rFonts w:eastAsia="仿宋_GB2312"/>
          <w:b/>
          <w:color w:val="000000"/>
          <w:sz w:val="24"/>
        </w:rPr>
      </w:pPr>
    </w:p>
    <w:p>
      <w:pPr>
        <w:ind w:firstLine="482"/>
        <w:jc w:val="center"/>
        <w:rPr>
          <w:rFonts w:eastAsia="黑体"/>
          <w:color w:val="000000"/>
          <w:sz w:val="30"/>
        </w:rPr>
      </w:pPr>
      <w:r>
        <w:rPr>
          <w:rFonts w:hint="eastAsia" w:eastAsia="黑体"/>
          <w:color w:val="000000"/>
          <w:sz w:val="30"/>
        </w:rPr>
        <w:t>人工鱼礁（巢</w:t>
      </w:r>
      <w:r>
        <w:rPr>
          <w:rFonts w:hint="eastAsia" w:ascii="黑体" w:eastAsia="黑体"/>
          <w:color w:val="000000"/>
          <w:sz w:val="30"/>
        </w:rPr>
        <w:t>）∕</w:t>
      </w:r>
      <w:r>
        <w:rPr>
          <w:rFonts w:hint="eastAsia" w:eastAsia="黑体"/>
          <w:color w:val="000000"/>
          <w:sz w:val="30"/>
        </w:rPr>
        <w:t>海洋牧场建设情况统计表</w:t>
      </w:r>
    </w:p>
    <w:tbl>
      <w:tblPr>
        <w:tblStyle w:val="5"/>
        <w:tblW w:w="0" w:type="auto"/>
        <w:tblInd w:w="0" w:type="dxa"/>
        <w:tblLayout w:type="fixed"/>
        <w:tblCellMar>
          <w:top w:w="0" w:type="dxa"/>
          <w:left w:w="108" w:type="dxa"/>
          <w:bottom w:w="0" w:type="dxa"/>
          <w:right w:w="108" w:type="dxa"/>
        </w:tblCellMar>
      </w:tblPr>
      <w:tblGrid>
        <w:gridCol w:w="723"/>
        <w:gridCol w:w="1599"/>
        <w:gridCol w:w="1126"/>
        <w:gridCol w:w="1780"/>
        <w:gridCol w:w="1355"/>
        <w:gridCol w:w="1800"/>
        <w:gridCol w:w="1800"/>
        <w:gridCol w:w="1413"/>
        <w:gridCol w:w="1620"/>
        <w:gridCol w:w="865"/>
      </w:tblGrid>
      <w:tr>
        <w:tblPrEx>
          <w:tblCellMar>
            <w:top w:w="0" w:type="dxa"/>
            <w:left w:w="108" w:type="dxa"/>
            <w:bottom w:w="0" w:type="dxa"/>
            <w:right w:w="108" w:type="dxa"/>
          </w:tblCellMar>
        </w:tblPrEx>
        <w:trPr>
          <w:trHeight w:val="765" w:hRule="atLeast"/>
        </w:trPr>
        <w:tc>
          <w:tcPr>
            <w:tcW w:w="7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序号</w:t>
            </w:r>
          </w:p>
        </w:tc>
        <w:tc>
          <w:tcPr>
            <w:tcW w:w="1599"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人工鱼礁</w:t>
            </w:r>
            <w:r>
              <w:rPr>
                <w:rFonts w:ascii="黑体" w:hAnsi="宋体" w:eastAsia="黑体" w:cs="宋体"/>
                <w:color w:val="000000"/>
                <w:kern w:val="0"/>
                <w:szCs w:val="21"/>
              </w:rPr>
              <w:t>(</w:t>
            </w:r>
            <w:r>
              <w:rPr>
                <w:rFonts w:hint="eastAsia" w:ascii="黑体" w:hAnsi="宋体" w:eastAsia="黑体" w:cs="宋体"/>
                <w:color w:val="000000"/>
                <w:kern w:val="0"/>
                <w:szCs w:val="21"/>
              </w:rPr>
              <w:t>巢</w:t>
            </w:r>
            <w:r>
              <w:rPr>
                <w:rFonts w:ascii="黑体" w:hAnsi="宋体" w:eastAsia="黑体" w:cs="宋体"/>
                <w:color w:val="000000"/>
                <w:kern w:val="0"/>
                <w:szCs w:val="21"/>
              </w:rPr>
              <w:t>)</w:t>
            </w:r>
            <w:r>
              <w:rPr>
                <w:rFonts w:hint="eastAsia" w:ascii="黑体" w:eastAsia="黑体"/>
                <w:color w:val="000000"/>
                <w:sz w:val="30"/>
              </w:rPr>
              <w:t>∕</w:t>
            </w:r>
            <w:r>
              <w:rPr>
                <w:rFonts w:hint="eastAsia" w:ascii="黑体" w:hAnsi="宋体" w:eastAsia="黑体" w:cs="宋体"/>
                <w:color w:val="000000"/>
                <w:kern w:val="0"/>
                <w:szCs w:val="21"/>
              </w:rPr>
              <w:t>海洋牧场名称</w:t>
            </w:r>
          </w:p>
        </w:tc>
        <w:tc>
          <w:tcPr>
            <w:tcW w:w="1126"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建设地点</w:t>
            </w:r>
          </w:p>
        </w:tc>
        <w:tc>
          <w:tcPr>
            <w:tcW w:w="1780"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建设时间</w:t>
            </w:r>
          </w:p>
        </w:tc>
        <w:tc>
          <w:tcPr>
            <w:tcW w:w="1355"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覆盖海域（公顷）</w:t>
            </w:r>
          </w:p>
        </w:tc>
        <w:tc>
          <w:tcPr>
            <w:tcW w:w="1800"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建设类型</w:t>
            </w:r>
          </w:p>
        </w:tc>
        <w:tc>
          <w:tcPr>
            <w:tcW w:w="1800"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建设规模（空方）</w:t>
            </w:r>
          </w:p>
        </w:tc>
        <w:tc>
          <w:tcPr>
            <w:tcW w:w="14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投入资金（万元）</w:t>
            </w:r>
          </w:p>
        </w:tc>
        <w:tc>
          <w:tcPr>
            <w:tcW w:w="1620"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资金来源</w:t>
            </w:r>
          </w:p>
        </w:tc>
        <w:tc>
          <w:tcPr>
            <w:tcW w:w="865"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备注</w:t>
            </w: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599" w:type="dxa"/>
            <w:tcBorders>
              <w:top w:val="nil"/>
              <w:left w:val="nil"/>
              <w:bottom w:val="single" w:color="auto" w:sz="4" w:space="0"/>
              <w:right w:val="single" w:color="auto" w:sz="4" w:space="0"/>
            </w:tcBorders>
            <w:noWrap/>
          </w:tcPr>
          <w:p>
            <w:pPr>
              <w:widowControl/>
              <w:rPr>
                <w:color w:val="000000"/>
                <w:kern w:val="0"/>
                <w:sz w:val="32"/>
                <w:szCs w:val="32"/>
              </w:rPr>
            </w:pPr>
            <w:r>
              <w:rPr>
                <w:rFonts w:hint="eastAsia"/>
                <w:color w:val="000000"/>
                <w:kern w:val="0"/>
                <w:sz w:val="32"/>
                <w:szCs w:val="32"/>
              </w:rPr>
              <w:t>　</w:t>
            </w:r>
          </w:p>
        </w:tc>
        <w:tc>
          <w:tcPr>
            <w:tcW w:w="1126"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78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355"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r>
              <w:rPr>
                <w:rFonts w:hint="eastAsia"/>
                <w:color w:val="000000"/>
                <w:kern w:val="0"/>
                <w:sz w:val="32"/>
                <w:szCs w:val="32"/>
              </w:rPr>
              <w:t>　</w:t>
            </w:r>
          </w:p>
        </w:tc>
        <w:tc>
          <w:tcPr>
            <w:tcW w:w="180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800" w:type="dxa"/>
            <w:tcBorders>
              <w:top w:val="single" w:color="auto" w:sz="4" w:space="0"/>
              <w:left w:val="nil"/>
              <w:bottom w:val="single" w:color="auto" w:sz="4" w:space="0"/>
              <w:right w:val="single" w:color="auto" w:sz="4" w:space="0"/>
            </w:tcBorders>
            <w:noWrap/>
          </w:tcPr>
          <w:p>
            <w:pPr>
              <w:widowControl/>
              <w:rPr>
                <w:rFonts w:ascii="仿宋_GB2312" w:hAnsi="宋体" w:eastAsia="仿宋_GB2312" w:cs="宋体"/>
                <w:color w:val="000000"/>
                <w:kern w:val="0"/>
                <w:sz w:val="32"/>
                <w:szCs w:val="32"/>
              </w:rPr>
            </w:pPr>
          </w:p>
        </w:tc>
        <w:tc>
          <w:tcPr>
            <w:tcW w:w="1413" w:type="dxa"/>
            <w:tcBorders>
              <w:top w:val="single" w:color="auto" w:sz="4" w:space="0"/>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62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86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599" w:type="dxa"/>
            <w:tcBorders>
              <w:top w:val="nil"/>
              <w:left w:val="nil"/>
              <w:bottom w:val="single" w:color="auto" w:sz="4" w:space="0"/>
              <w:right w:val="single" w:color="auto" w:sz="4" w:space="0"/>
            </w:tcBorders>
            <w:noWrap/>
          </w:tcPr>
          <w:p>
            <w:pPr>
              <w:widowControl/>
              <w:rPr>
                <w:color w:val="000000"/>
                <w:kern w:val="0"/>
                <w:sz w:val="32"/>
                <w:szCs w:val="32"/>
              </w:rPr>
            </w:pPr>
            <w:r>
              <w:rPr>
                <w:rFonts w:hint="eastAsia"/>
                <w:color w:val="000000"/>
                <w:kern w:val="0"/>
                <w:sz w:val="32"/>
                <w:szCs w:val="32"/>
              </w:rPr>
              <w:t>　</w:t>
            </w:r>
          </w:p>
        </w:tc>
        <w:tc>
          <w:tcPr>
            <w:tcW w:w="1126" w:type="dxa"/>
            <w:tcBorders>
              <w:top w:val="single" w:color="auto" w:sz="4" w:space="0"/>
              <w:left w:val="nil"/>
              <w:bottom w:val="single" w:color="auto" w:sz="4" w:space="0"/>
              <w:right w:val="single" w:color="000000"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78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355"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r>
              <w:rPr>
                <w:rFonts w:hint="eastAsia"/>
                <w:color w:val="000000"/>
                <w:kern w:val="0"/>
                <w:sz w:val="32"/>
                <w:szCs w:val="32"/>
              </w:rPr>
              <w:t>　</w:t>
            </w:r>
          </w:p>
        </w:tc>
        <w:tc>
          <w:tcPr>
            <w:tcW w:w="180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800" w:type="dxa"/>
            <w:tcBorders>
              <w:top w:val="single" w:color="auto" w:sz="4" w:space="0"/>
              <w:left w:val="nil"/>
              <w:bottom w:val="single" w:color="auto" w:sz="4" w:space="0"/>
              <w:right w:val="single" w:color="auto" w:sz="4" w:space="0"/>
            </w:tcBorders>
            <w:noWrap/>
          </w:tcPr>
          <w:p>
            <w:pPr>
              <w:widowControl/>
              <w:rPr>
                <w:rFonts w:ascii="仿宋_GB2312" w:hAnsi="宋体" w:eastAsia="仿宋_GB2312" w:cs="宋体"/>
                <w:color w:val="000000"/>
                <w:kern w:val="0"/>
                <w:sz w:val="32"/>
                <w:szCs w:val="32"/>
              </w:rPr>
            </w:pPr>
          </w:p>
        </w:tc>
        <w:tc>
          <w:tcPr>
            <w:tcW w:w="1413" w:type="dxa"/>
            <w:tcBorders>
              <w:top w:val="single" w:color="auto" w:sz="4" w:space="0"/>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62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86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599" w:type="dxa"/>
            <w:tcBorders>
              <w:top w:val="nil"/>
              <w:left w:val="nil"/>
              <w:bottom w:val="single" w:color="auto" w:sz="4" w:space="0"/>
              <w:right w:val="single" w:color="auto" w:sz="4" w:space="0"/>
            </w:tcBorders>
            <w:noWrap/>
          </w:tcPr>
          <w:p>
            <w:pPr>
              <w:widowControl/>
              <w:rPr>
                <w:color w:val="000000"/>
                <w:kern w:val="0"/>
                <w:sz w:val="32"/>
                <w:szCs w:val="32"/>
              </w:rPr>
            </w:pPr>
            <w:r>
              <w:rPr>
                <w:rFonts w:hint="eastAsia"/>
                <w:color w:val="000000"/>
                <w:kern w:val="0"/>
                <w:sz w:val="32"/>
                <w:szCs w:val="32"/>
              </w:rPr>
              <w:t>　</w:t>
            </w:r>
          </w:p>
        </w:tc>
        <w:tc>
          <w:tcPr>
            <w:tcW w:w="1126"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78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355"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r>
              <w:rPr>
                <w:rFonts w:hint="eastAsia"/>
                <w:color w:val="000000"/>
                <w:kern w:val="0"/>
                <w:sz w:val="32"/>
                <w:szCs w:val="32"/>
              </w:rPr>
              <w:t>　</w:t>
            </w:r>
          </w:p>
        </w:tc>
        <w:tc>
          <w:tcPr>
            <w:tcW w:w="180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800" w:type="dxa"/>
            <w:tcBorders>
              <w:top w:val="single" w:color="auto" w:sz="4" w:space="0"/>
              <w:left w:val="nil"/>
              <w:bottom w:val="single" w:color="auto" w:sz="4" w:space="0"/>
              <w:right w:val="single" w:color="auto" w:sz="4" w:space="0"/>
            </w:tcBorders>
            <w:noWrap/>
          </w:tcPr>
          <w:p>
            <w:pPr>
              <w:widowControl/>
              <w:rPr>
                <w:rFonts w:ascii="仿宋_GB2312" w:hAnsi="宋体" w:eastAsia="仿宋_GB2312" w:cs="宋体"/>
                <w:color w:val="000000"/>
                <w:kern w:val="0"/>
                <w:sz w:val="32"/>
                <w:szCs w:val="32"/>
              </w:rPr>
            </w:pPr>
          </w:p>
        </w:tc>
        <w:tc>
          <w:tcPr>
            <w:tcW w:w="1413" w:type="dxa"/>
            <w:tcBorders>
              <w:top w:val="single" w:color="auto" w:sz="4" w:space="0"/>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62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86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599" w:type="dxa"/>
            <w:tcBorders>
              <w:top w:val="nil"/>
              <w:left w:val="nil"/>
              <w:bottom w:val="single" w:color="auto" w:sz="4" w:space="0"/>
              <w:right w:val="single" w:color="auto" w:sz="4" w:space="0"/>
            </w:tcBorders>
            <w:noWrap/>
          </w:tcPr>
          <w:p>
            <w:pPr>
              <w:widowControl/>
              <w:rPr>
                <w:color w:val="000000"/>
                <w:kern w:val="0"/>
                <w:sz w:val="32"/>
                <w:szCs w:val="32"/>
              </w:rPr>
            </w:pPr>
            <w:r>
              <w:rPr>
                <w:rFonts w:hint="eastAsia"/>
                <w:color w:val="000000"/>
                <w:kern w:val="0"/>
                <w:sz w:val="32"/>
                <w:szCs w:val="32"/>
              </w:rPr>
              <w:t>　</w:t>
            </w:r>
          </w:p>
        </w:tc>
        <w:tc>
          <w:tcPr>
            <w:tcW w:w="1126"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78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355"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r>
              <w:rPr>
                <w:rFonts w:hint="eastAsia"/>
                <w:color w:val="000000"/>
                <w:kern w:val="0"/>
                <w:sz w:val="32"/>
                <w:szCs w:val="32"/>
              </w:rPr>
              <w:t>　</w:t>
            </w:r>
          </w:p>
        </w:tc>
        <w:tc>
          <w:tcPr>
            <w:tcW w:w="180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800" w:type="dxa"/>
            <w:tcBorders>
              <w:top w:val="single" w:color="auto" w:sz="4" w:space="0"/>
              <w:left w:val="nil"/>
              <w:bottom w:val="single" w:color="auto" w:sz="4" w:space="0"/>
              <w:right w:val="single" w:color="auto" w:sz="4" w:space="0"/>
            </w:tcBorders>
            <w:noWrap/>
          </w:tcPr>
          <w:p>
            <w:pPr>
              <w:widowControl/>
              <w:rPr>
                <w:rFonts w:ascii="仿宋_GB2312" w:hAnsi="宋体" w:eastAsia="仿宋_GB2312" w:cs="宋体"/>
                <w:color w:val="000000"/>
                <w:kern w:val="0"/>
                <w:sz w:val="32"/>
                <w:szCs w:val="32"/>
              </w:rPr>
            </w:pPr>
          </w:p>
        </w:tc>
        <w:tc>
          <w:tcPr>
            <w:tcW w:w="1413" w:type="dxa"/>
            <w:tcBorders>
              <w:top w:val="single" w:color="auto" w:sz="4" w:space="0"/>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62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86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599" w:type="dxa"/>
            <w:tcBorders>
              <w:top w:val="nil"/>
              <w:left w:val="nil"/>
              <w:bottom w:val="single" w:color="auto" w:sz="4" w:space="0"/>
              <w:right w:val="single" w:color="auto" w:sz="4" w:space="0"/>
            </w:tcBorders>
            <w:noWrap/>
          </w:tcPr>
          <w:p>
            <w:pPr>
              <w:widowControl/>
              <w:rPr>
                <w:color w:val="000000"/>
                <w:kern w:val="0"/>
                <w:sz w:val="32"/>
                <w:szCs w:val="32"/>
              </w:rPr>
            </w:pPr>
            <w:r>
              <w:rPr>
                <w:rFonts w:hint="eastAsia"/>
                <w:color w:val="000000"/>
                <w:kern w:val="0"/>
                <w:sz w:val="32"/>
                <w:szCs w:val="32"/>
              </w:rPr>
              <w:t>　</w:t>
            </w:r>
          </w:p>
        </w:tc>
        <w:tc>
          <w:tcPr>
            <w:tcW w:w="1126"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78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355"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r>
              <w:rPr>
                <w:rFonts w:hint="eastAsia"/>
                <w:color w:val="000000"/>
                <w:kern w:val="0"/>
                <w:sz w:val="32"/>
                <w:szCs w:val="32"/>
              </w:rPr>
              <w:t>　</w:t>
            </w:r>
          </w:p>
        </w:tc>
        <w:tc>
          <w:tcPr>
            <w:tcW w:w="180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800" w:type="dxa"/>
            <w:tcBorders>
              <w:top w:val="single" w:color="auto" w:sz="4" w:space="0"/>
              <w:left w:val="nil"/>
              <w:bottom w:val="single" w:color="auto" w:sz="4" w:space="0"/>
              <w:right w:val="single" w:color="auto" w:sz="4" w:space="0"/>
            </w:tcBorders>
            <w:noWrap/>
          </w:tcPr>
          <w:p>
            <w:pPr>
              <w:widowControl/>
              <w:rPr>
                <w:rFonts w:ascii="仿宋_GB2312" w:hAnsi="宋体" w:eastAsia="仿宋_GB2312" w:cs="宋体"/>
                <w:color w:val="000000"/>
                <w:kern w:val="0"/>
                <w:sz w:val="32"/>
                <w:szCs w:val="32"/>
              </w:rPr>
            </w:pPr>
          </w:p>
        </w:tc>
        <w:tc>
          <w:tcPr>
            <w:tcW w:w="1413" w:type="dxa"/>
            <w:tcBorders>
              <w:top w:val="single" w:color="auto" w:sz="4" w:space="0"/>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162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c>
          <w:tcPr>
            <w:tcW w:w="86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w:t>
            </w: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599" w:type="dxa"/>
            <w:tcBorders>
              <w:top w:val="nil"/>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合计</w:t>
            </w:r>
          </w:p>
        </w:tc>
        <w:tc>
          <w:tcPr>
            <w:tcW w:w="1126"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78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355"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p>
        </w:tc>
        <w:tc>
          <w:tcPr>
            <w:tcW w:w="180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800" w:type="dxa"/>
            <w:tcBorders>
              <w:top w:val="single" w:color="auto" w:sz="4" w:space="0"/>
              <w:left w:val="nil"/>
              <w:bottom w:val="single" w:color="auto" w:sz="4" w:space="0"/>
              <w:right w:val="single" w:color="auto" w:sz="4" w:space="0"/>
            </w:tcBorders>
            <w:noWrap/>
          </w:tcPr>
          <w:p>
            <w:pPr>
              <w:widowControl/>
              <w:rPr>
                <w:rFonts w:ascii="仿宋_GB2312" w:hAnsi="宋体" w:eastAsia="仿宋_GB2312" w:cs="宋体"/>
                <w:color w:val="000000"/>
                <w:kern w:val="0"/>
                <w:sz w:val="32"/>
                <w:szCs w:val="32"/>
              </w:rPr>
            </w:pPr>
          </w:p>
        </w:tc>
        <w:tc>
          <w:tcPr>
            <w:tcW w:w="1413" w:type="dxa"/>
            <w:tcBorders>
              <w:top w:val="single" w:color="auto" w:sz="4" w:space="0"/>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62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86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r>
    </w:tbl>
    <w:p>
      <w:pPr>
        <w:rPr>
          <w:rFonts w:eastAsia="仿宋_GB2312"/>
          <w:color w:val="000000"/>
          <w:sz w:val="28"/>
        </w:rPr>
      </w:pPr>
      <w:r>
        <w:rPr>
          <w:rFonts w:hint="eastAsia" w:eastAsia="仿宋_GB2312"/>
          <w:color w:val="000000"/>
        </w:rPr>
        <w:t>填表单位：（盖章）填表人：联系电话：填表日期：</w:t>
      </w:r>
    </w:p>
    <w:p>
      <w:pPr>
        <w:spacing w:line="360" w:lineRule="auto"/>
        <w:rPr>
          <w:rFonts w:eastAsia="仿宋_GB2312"/>
          <w:color w:val="000000"/>
        </w:rPr>
      </w:pPr>
      <w:r>
        <w:rPr>
          <w:rFonts w:hint="eastAsia" w:eastAsia="仿宋_GB2312"/>
          <w:color w:val="000000"/>
        </w:rPr>
        <w:t>填表说明</w:t>
      </w:r>
      <w:r>
        <w:rPr>
          <w:rFonts w:eastAsia="仿宋_GB2312"/>
          <w:color w:val="000000"/>
        </w:rPr>
        <w:t>:1.</w:t>
      </w:r>
      <w:r>
        <w:rPr>
          <w:rFonts w:hint="eastAsia" w:eastAsia="仿宋_GB2312"/>
          <w:color w:val="000000"/>
        </w:rPr>
        <w:t>表中每项指标的填写要求请登录《全国水生生物资源养护信息系统》查看“资源养护信息采集</w:t>
      </w:r>
      <w:r>
        <w:rPr>
          <w:rFonts w:eastAsia="仿宋_GB2312"/>
          <w:color w:val="000000"/>
        </w:rPr>
        <w:t>-</w:t>
      </w:r>
      <w:r>
        <w:rPr>
          <w:rFonts w:hint="eastAsia" w:eastAsia="仿宋_GB2312"/>
          <w:color w:val="000000"/>
        </w:rPr>
        <w:t>数据报送</w:t>
      </w:r>
      <w:r>
        <w:rPr>
          <w:rFonts w:eastAsia="仿宋_GB2312"/>
          <w:color w:val="000000"/>
        </w:rPr>
        <w:t>-</w:t>
      </w:r>
      <w:r>
        <w:rPr>
          <w:rFonts w:hint="eastAsia" w:eastAsia="仿宋_GB2312"/>
          <w:color w:val="000000"/>
        </w:rPr>
        <w:t>每个基础报表的填报说明”。</w:t>
      </w:r>
    </w:p>
    <w:p>
      <w:pPr>
        <w:spacing w:line="360" w:lineRule="auto"/>
        <w:rPr>
          <w:rFonts w:ascii="宋体"/>
          <w:szCs w:val="21"/>
        </w:rPr>
      </w:pPr>
      <w:r>
        <w:rPr>
          <w:rFonts w:eastAsia="仿宋_GB2312"/>
          <w:color w:val="000000"/>
        </w:rPr>
        <w:t xml:space="preserve">         2.如属于海洋牧场示范区</w:t>
      </w:r>
      <w:r>
        <w:rPr>
          <w:rFonts w:hint="eastAsia" w:eastAsia="仿宋_GB2312"/>
          <w:color w:val="000000"/>
        </w:rPr>
        <w:t>，请在备注中标明海洋牧场示范区级别，即省级还是国家级。</w:t>
      </w:r>
    </w:p>
    <w:p>
      <w:pPr>
        <w:rPr>
          <w:rFonts w:ascii="黑体" w:hAnsi="宋体" w:eastAsia="黑体" w:cs="AdobeSongStd-Light"/>
          <w:color w:val="000000"/>
          <w:kern w:val="0"/>
          <w:sz w:val="28"/>
          <w:szCs w:val="28"/>
        </w:rPr>
      </w:pPr>
      <w:r>
        <w:rPr>
          <w:rFonts w:eastAsia="仿宋_GB2312"/>
          <w:color w:val="000000"/>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2-12</w:t>
      </w:r>
    </w:p>
    <w:tbl>
      <w:tblPr>
        <w:tblStyle w:val="5"/>
        <w:tblW w:w="0" w:type="auto"/>
        <w:tblInd w:w="0" w:type="dxa"/>
        <w:tblLayout w:type="fixed"/>
        <w:tblCellMar>
          <w:top w:w="0" w:type="dxa"/>
          <w:left w:w="108" w:type="dxa"/>
          <w:bottom w:w="0" w:type="dxa"/>
          <w:right w:w="108" w:type="dxa"/>
        </w:tblCellMar>
      </w:tblPr>
      <w:tblGrid>
        <w:gridCol w:w="540"/>
        <w:gridCol w:w="1080"/>
        <w:gridCol w:w="1305"/>
        <w:gridCol w:w="860"/>
        <w:gridCol w:w="600"/>
        <w:gridCol w:w="1180"/>
        <w:gridCol w:w="740"/>
        <w:gridCol w:w="715"/>
        <w:gridCol w:w="776"/>
        <w:gridCol w:w="844"/>
        <w:gridCol w:w="900"/>
        <w:gridCol w:w="720"/>
        <w:gridCol w:w="720"/>
        <w:gridCol w:w="720"/>
        <w:gridCol w:w="1080"/>
        <w:gridCol w:w="576"/>
        <w:gridCol w:w="1044"/>
      </w:tblGrid>
      <w:tr>
        <w:tblPrEx>
          <w:tblCellMar>
            <w:top w:w="0" w:type="dxa"/>
            <w:left w:w="108" w:type="dxa"/>
            <w:bottom w:w="0" w:type="dxa"/>
            <w:right w:w="108" w:type="dxa"/>
          </w:tblCellMar>
        </w:tblPrEx>
        <w:trPr>
          <w:trHeight w:val="465" w:hRule="atLeast"/>
        </w:trPr>
        <w:tc>
          <w:tcPr>
            <w:tcW w:w="14400" w:type="dxa"/>
            <w:gridSpan w:val="17"/>
            <w:tcBorders>
              <w:top w:val="nil"/>
              <w:left w:val="nil"/>
              <w:bottom w:val="nil"/>
              <w:right w:val="nil"/>
            </w:tcBorders>
            <w:noWrap/>
            <w:vAlign w:val="center"/>
          </w:tcPr>
          <w:p>
            <w:pPr>
              <w:widowControl/>
              <w:jc w:val="center"/>
              <w:rPr>
                <w:rFonts w:ascii="黑体" w:hAnsi="Arial Unicode MS" w:eastAsia="黑体" w:cs="宋体"/>
                <w:bCs/>
                <w:kern w:val="0"/>
                <w:sz w:val="32"/>
                <w:szCs w:val="32"/>
              </w:rPr>
            </w:pPr>
            <w:r>
              <w:rPr>
                <w:rFonts w:hint="eastAsia" w:ascii="黑体" w:hAnsi="Arial Unicode MS" w:eastAsia="黑体" w:cs="宋体"/>
                <w:bCs/>
                <w:kern w:val="0"/>
                <w:sz w:val="32"/>
                <w:szCs w:val="32"/>
              </w:rPr>
              <w:t>年度中央财政增殖放流苗种供应单位情况汇总表</w:t>
            </w:r>
          </w:p>
        </w:tc>
      </w:tr>
      <w:tr>
        <w:tblPrEx>
          <w:tblCellMar>
            <w:top w:w="0" w:type="dxa"/>
            <w:left w:w="108" w:type="dxa"/>
            <w:bottom w:w="0" w:type="dxa"/>
            <w:right w:w="108" w:type="dxa"/>
          </w:tblCellMar>
        </w:tblPrEx>
        <w:trPr>
          <w:trHeight w:val="591" w:hRule="atLeast"/>
        </w:trPr>
        <w:tc>
          <w:tcPr>
            <w:tcW w:w="540" w:type="dxa"/>
            <w:vMerge w:val="restart"/>
            <w:tcBorders>
              <w:top w:val="single" w:color="333333" w:sz="8" w:space="0"/>
              <w:left w:val="single" w:color="333333" w:sz="8" w:space="0"/>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序号</w:t>
            </w:r>
          </w:p>
        </w:tc>
        <w:tc>
          <w:tcPr>
            <w:tcW w:w="1080" w:type="dxa"/>
            <w:vMerge w:val="restart"/>
            <w:tcBorders>
              <w:top w:val="single" w:color="333333" w:sz="8" w:space="0"/>
              <w:left w:val="single" w:color="000000" w:sz="4" w:space="0"/>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行政区划</w:t>
            </w:r>
          </w:p>
        </w:tc>
        <w:tc>
          <w:tcPr>
            <w:tcW w:w="1305" w:type="dxa"/>
            <w:vMerge w:val="restart"/>
            <w:tcBorders>
              <w:top w:val="single" w:color="333333" w:sz="8" w:space="0"/>
              <w:left w:val="single" w:color="000000" w:sz="4" w:space="0"/>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单位名称</w:t>
            </w:r>
          </w:p>
        </w:tc>
        <w:tc>
          <w:tcPr>
            <w:tcW w:w="860" w:type="dxa"/>
            <w:vMerge w:val="restart"/>
            <w:tcBorders>
              <w:top w:val="single" w:color="333333" w:sz="8" w:space="0"/>
              <w:left w:val="single" w:color="000000" w:sz="4" w:space="0"/>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从业起始时间</w:t>
            </w:r>
          </w:p>
        </w:tc>
        <w:tc>
          <w:tcPr>
            <w:tcW w:w="600" w:type="dxa"/>
            <w:vMerge w:val="restart"/>
            <w:tcBorders>
              <w:top w:val="single" w:color="333333" w:sz="8" w:space="0"/>
              <w:left w:val="single" w:color="000000" w:sz="4" w:space="0"/>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职工人数</w:t>
            </w:r>
          </w:p>
        </w:tc>
        <w:tc>
          <w:tcPr>
            <w:tcW w:w="1180" w:type="dxa"/>
            <w:vMerge w:val="restart"/>
            <w:tcBorders>
              <w:top w:val="single" w:color="333333" w:sz="8" w:space="0"/>
              <w:left w:val="single" w:color="000000" w:sz="4" w:space="0"/>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资质</w:t>
            </w:r>
          </w:p>
        </w:tc>
        <w:tc>
          <w:tcPr>
            <w:tcW w:w="740" w:type="dxa"/>
            <w:vMerge w:val="restart"/>
            <w:tcBorders>
              <w:top w:val="single" w:color="333333" w:sz="8" w:space="0"/>
              <w:left w:val="single" w:color="000000" w:sz="4" w:space="0"/>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场区总面积</w:t>
            </w:r>
          </w:p>
        </w:tc>
        <w:tc>
          <w:tcPr>
            <w:tcW w:w="6475" w:type="dxa"/>
            <w:gridSpan w:val="8"/>
            <w:tcBorders>
              <w:top w:val="single" w:color="333333" w:sz="8" w:space="0"/>
              <w:left w:val="nil"/>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详细信息</w:t>
            </w:r>
          </w:p>
        </w:tc>
        <w:tc>
          <w:tcPr>
            <w:tcW w:w="576" w:type="dxa"/>
            <w:vMerge w:val="restart"/>
            <w:tcBorders>
              <w:top w:val="single" w:color="333333" w:sz="8" w:space="0"/>
              <w:left w:val="single" w:color="000000" w:sz="4" w:space="0"/>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联系人</w:t>
            </w:r>
          </w:p>
        </w:tc>
        <w:tc>
          <w:tcPr>
            <w:tcW w:w="1044" w:type="dxa"/>
            <w:vMerge w:val="restart"/>
            <w:tcBorders>
              <w:top w:val="single" w:color="333333" w:sz="8" w:space="0"/>
              <w:left w:val="single" w:color="000000" w:sz="4" w:space="0"/>
              <w:bottom w:val="single" w:color="000000" w:sz="4" w:space="0"/>
              <w:right w:val="single" w:color="333333" w:sz="8"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手机号码</w:t>
            </w:r>
          </w:p>
        </w:tc>
      </w:tr>
      <w:tr>
        <w:tblPrEx>
          <w:tblCellMar>
            <w:top w:w="0" w:type="dxa"/>
            <w:left w:w="108" w:type="dxa"/>
            <w:bottom w:w="0" w:type="dxa"/>
            <w:right w:w="108" w:type="dxa"/>
          </w:tblCellMar>
        </w:tblPrEx>
        <w:trPr>
          <w:trHeight w:val="1080" w:hRule="atLeast"/>
        </w:trPr>
        <w:tc>
          <w:tcPr>
            <w:tcW w:w="540" w:type="dxa"/>
            <w:vMerge w:val="continue"/>
            <w:tcBorders>
              <w:top w:val="single" w:color="333333" w:sz="8" w:space="0"/>
              <w:left w:val="single" w:color="333333" w:sz="8" w:space="0"/>
              <w:bottom w:val="single" w:color="000000" w:sz="4" w:space="0"/>
              <w:right w:val="single" w:color="000000" w:sz="4" w:space="0"/>
            </w:tcBorders>
            <w:noWrap/>
            <w:vAlign w:val="center"/>
          </w:tcPr>
          <w:p>
            <w:pPr>
              <w:widowControl/>
              <w:jc w:val="left"/>
              <w:rPr>
                <w:rFonts w:ascii="黑体" w:hAnsi="Arial Unicode MS" w:eastAsia="黑体" w:cs="宋体"/>
                <w:bCs/>
                <w:kern w:val="0"/>
                <w:szCs w:val="21"/>
              </w:rPr>
            </w:pPr>
          </w:p>
        </w:tc>
        <w:tc>
          <w:tcPr>
            <w:tcW w:w="1080" w:type="dxa"/>
            <w:vMerge w:val="continue"/>
            <w:tcBorders>
              <w:top w:val="single" w:color="333333" w:sz="8" w:space="0"/>
              <w:left w:val="single" w:color="000000" w:sz="4" w:space="0"/>
              <w:bottom w:val="single" w:color="000000" w:sz="4" w:space="0"/>
              <w:right w:val="single" w:color="000000" w:sz="4" w:space="0"/>
            </w:tcBorders>
            <w:noWrap/>
            <w:vAlign w:val="center"/>
          </w:tcPr>
          <w:p>
            <w:pPr>
              <w:widowControl/>
              <w:jc w:val="left"/>
              <w:rPr>
                <w:rFonts w:ascii="黑体" w:hAnsi="Arial Unicode MS" w:eastAsia="黑体" w:cs="宋体"/>
                <w:bCs/>
                <w:kern w:val="0"/>
                <w:szCs w:val="21"/>
              </w:rPr>
            </w:pPr>
          </w:p>
        </w:tc>
        <w:tc>
          <w:tcPr>
            <w:tcW w:w="1305" w:type="dxa"/>
            <w:vMerge w:val="continue"/>
            <w:tcBorders>
              <w:top w:val="single" w:color="333333" w:sz="8" w:space="0"/>
              <w:left w:val="single" w:color="000000" w:sz="4" w:space="0"/>
              <w:bottom w:val="single" w:color="000000" w:sz="4" w:space="0"/>
              <w:right w:val="single" w:color="000000" w:sz="4" w:space="0"/>
            </w:tcBorders>
            <w:noWrap/>
            <w:vAlign w:val="center"/>
          </w:tcPr>
          <w:p>
            <w:pPr>
              <w:widowControl/>
              <w:jc w:val="left"/>
              <w:rPr>
                <w:rFonts w:ascii="黑体" w:hAnsi="Arial Unicode MS" w:eastAsia="黑体" w:cs="宋体"/>
                <w:bCs/>
                <w:kern w:val="0"/>
                <w:szCs w:val="21"/>
              </w:rPr>
            </w:pPr>
          </w:p>
        </w:tc>
        <w:tc>
          <w:tcPr>
            <w:tcW w:w="860" w:type="dxa"/>
            <w:vMerge w:val="continue"/>
            <w:tcBorders>
              <w:top w:val="single" w:color="333333" w:sz="8" w:space="0"/>
              <w:left w:val="single" w:color="000000" w:sz="4" w:space="0"/>
              <w:bottom w:val="single" w:color="000000" w:sz="4" w:space="0"/>
              <w:right w:val="single" w:color="000000" w:sz="4" w:space="0"/>
            </w:tcBorders>
            <w:noWrap/>
            <w:vAlign w:val="center"/>
          </w:tcPr>
          <w:p>
            <w:pPr>
              <w:widowControl/>
              <w:jc w:val="left"/>
              <w:rPr>
                <w:rFonts w:ascii="黑体" w:hAnsi="Arial Unicode MS" w:eastAsia="黑体" w:cs="宋体"/>
                <w:bCs/>
                <w:kern w:val="0"/>
                <w:szCs w:val="21"/>
              </w:rPr>
            </w:pPr>
          </w:p>
        </w:tc>
        <w:tc>
          <w:tcPr>
            <w:tcW w:w="600" w:type="dxa"/>
            <w:vMerge w:val="continue"/>
            <w:tcBorders>
              <w:top w:val="single" w:color="333333" w:sz="8" w:space="0"/>
              <w:left w:val="single" w:color="000000" w:sz="4" w:space="0"/>
              <w:bottom w:val="single" w:color="000000" w:sz="4" w:space="0"/>
              <w:right w:val="single" w:color="000000" w:sz="4" w:space="0"/>
            </w:tcBorders>
            <w:noWrap/>
            <w:vAlign w:val="center"/>
          </w:tcPr>
          <w:p>
            <w:pPr>
              <w:widowControl/>
              <w:jc w:val="left"/>
              <w:rPr>
                <w:rFonts w:ascii="黑体" w:hAnsi="Arial Unicode MS" w:eastAsia="黑体" w:cs="宋体"/>
                <w:bCs/>
                <w:kern w:val="0"/>
                <w:szCs w:val="21"/>
              </w:rPr>
            </w:pPr>
          </w:p>
        </w:tc>
        <w:tc>
          <w:tcPr>
            <w:tcW w:w="1180" w:type="dxa"/>
            <w:vMerge w:val="continue"/>
            <w:tcBorders>
              <w:top w:val="single" w:color="333333" w:sz="8" w:space="0"/>
              <w:left w:val="single" w:color="000000" w:sz="4" w:space="0"/>
              <w:bottom w:val="single" w:color="000000" w:sz="4" w:space="0"/>
              <w:right w:val="single" w:color="000000" w:sz="4" w:space="0"/>
            </w:tcBorders>
            <w:noWrap/>
            <w:vAlign w:val="center"/>
          </w:tcPr>
          <w:p>
            <w:pPr>
              <w:widowControl/>
              <w:jc w:val="left"/>
              <w:rPr>
                <w:rFonts w:ascii="黑体" w:hAnsi="Arial Unicode MS" w:eastAsia="黑体" w:cs="宋体"/>
                <w:bCs/>
                <w:kern w:val="0"/>
                <w:szCs w:val="21"/>
              </w:rPr>
            </w:pPr>
          </w:p>
        </w:tc>
        <w:tc>
          <w:tcPr>
            <w:tcW w:w="740" w:type="dxa"/>
            <w:vMerge w:val="continue"/>
            <w:tcBorders>
              <w:top w:val="single" w:color="333333" w:sz="8" w:space="0"/>
              <w:left w:val="single" w:color="000000" w:sz="4" w:space="0"/>
              <w:bottom w:val="single" w:color="000000" w:sz="4" w:space="0"/>
              <w:right w:val="single" w:color="000000" w:sz="4" w:space="0"/>
            </w:tcBorders>
            <w:noWrap/>
            <w:vAlign w:val="center"/>
          </w:tcPr>
          <w:p>
            <w:pPr>
              <w:widowControl/>
              <w:jc w:val="left"/>
              <w:rPr>
                <w:rFonts w:ascii="黑体" w:hAnsi="Arial Unicode MS" w:eastAsia="黑体" w:cs="宋体"/>
                <w:bCs/>
                <w:kern w:val="0"/>
                <w:szCs w:val="21"/>
              </w:rPr>
            </w:pPr>
          </w:p>
        </w:tc>
        <w:tc>
          <w:tcPr>
            <w:tcW w:w="715" w:type="dxa"/>
            <w:tcBorders>
              <w:top w:val="nil"/>
              <w:left w:val="nil"/>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苗种类别</w:t>
            </w:r>
          </w:p>
        </w:tc>
        <w:tc>
          <w:tcPr>
            <w:tcW w:w="776" w:type="dxa"/>
            <w:tcBorders>
              <w:top w:val="nil"/>
              <w:left w:val="nil"/>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供苗种类</w:t>
            </w:r>
          </w:p>
        </w:tc>
        <w:tc>
          <w:tcPr>
            <w:tcW w:w="844" w:type="dxa"/>
            <w:tcBorders>
              <w:top w:val="nil"/>
              <w:left w:val="nil"/>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苗种供应规格</w:t>
            </w:r>
            <w:r>
              <w:rPr>
                <w:rFonts w:ascii="黑体" w:hAnsi="Arial Unicode MS" w:eastAsia="黑体" w:cs="宋体"/>
                <w:bCs/>
                <w:kern w:val="0"/>
                <w:szCs w:val="21"/>
              </w:rPr>
              <w:t>(cm)</w:t>
            </w:r>
          </w:p>
        </w:tc>
        <w:tc>
          <w:tcPr>
            <w:tcW w:w="900" w:type="dxa"/>
            <w:tcBorders>
              <w:top w:val="nil"/>
              <w:left w:val="nil"/>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苗种年供应能力</w:t>
            </w:r>
            <w:r>
              <w:rPr>
                <w:rFonts w:ascii="黑体" w:hAnsi="Arial Unicode MS" w:eastAsia="黑体" w:cs="宋体"/>
                <w:bCs/>
                <w:kern w:val="0"/>
                <w:szCs w:val="21"/>
              </w:rPr>
              <w:t>(</w:t>
            </w:r>
            <w:r>
              <w:rPr>
                <w:rFonts w:hint="eastAsia" w:ascii="黑体" w:hAnsi="Arial Unicode MS" w:eastAsia="黑体" w:cs="宋体"/>
                <w:bCs/>
                <w:kern w:val="0"/>
                <w:szCs w:val="21"/>
              </w:rPr>
              <w:t>万尾</w:t>
            </w:r>
            <w:r>
              <w:rPr>
                <w:rFonts w:ascii="黑体" w:hAnsi="Arial Unicode MS" w:eastAsia="黑体" w:cs="宋体"/>
                <w:bCs/>
                <w:kern w:val="0"/>
                <w:szCs w:val="21"/>
              </w:rPr>
              <w:t>)</w:t>
            </w:r>
          </w:p>
        </w:tc>
        <w:tc>
          <w:tcPr>
            <w:tcW w:w="720" w:type="dxa"/>
            <w:tcBorders>
              <w:top w:val="nil"/>
              <w:left w:val="nil"/>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苗种来源</w:t>
            </w:r>
          </w:p>
        </w:tc>
        <w:tc>
          <w:tcPr>
            <w:tcW w:w="720" w:type="dxa"/>
            <w:tcBorders>
              <w:top w:val="nil"/>
              <w:left w:val="nil"/>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亲本来源</w:t>
            </w:r>
          </w:p>
        </w:tc>
        <w:tc>
          <w:tcPr>
            <w:tcW w:w="720" w:type="dxa"/>
            <w:tcBorders>
              <w:top w:val="nil"/>
              <w:left w:val="nil"/>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亲本总数量</w:t>
            </w:r>
          </w:p>
        </w:tc>
        <w:tc>
          <w:tcPr>
            <w:tcW w:w="1080" w:type="dxa"/>
            <w:tcBorders>
              <w:top w:val="nil"/>
              <w:left w:val="nil"/>
              <w:bottom w:val="single" w:color="000000" w:sz="4" w:space="0"/>
              <w:right w:val="single" w:color="000000" w:sz="4" w:space="0"/>
            </w:tcBorders>
            <w:noWrap/>
            <w:vAlign w:val="center"/>
          </w:tcPr>
          <w:p>
            <w:pPr>
              <w:widowControl/>
              <w:jc w:val="center"/>
              <w:rPr>
                <w:rFonts w:ascii="黑体" w:hAnsi="Arial Unicode MS" w:eastAsia="黑体" w:cs="宋体"/>
                <w:bCs/>
                <w:kern w:val="0"/>
                <w:szCs w:val="21"/>
              </w:rPr>
            </w:pPr>
            <w:r>
              <w:rPr>
                <w:rFonts w:hint="eastAsia" w:ascii="黑体" w:hAnsi="Arial Unicode MS" w:eastAsia="黑体" w:cs="宋体"/>
                <w:bCs/>
                <w:kern w:val="0"/>
                <w:szCs w:val="21"/>
              </w:rPr>
              <w:t>本年度增殖放流数量</w:t>
            </w:r>
            <w:r>
              <w:rPr>
                <w:rFonts w:ascii="黑体" w:hAnsi="Arial Unicode MS" w:eastAsia="黑体" w:cs="宋体"/>
                <w:bCs/>
                <w:kern w:val="0"/>
                <w:szCs w:val="21"/>
              </w:rPr>
              <w:t>(</w:t>
            </w:r>
            <w:r>
              <w:rPr>
                <w:rFonts w:hint="eastAsia" w:ascii="黑体" w:hAnsi="Arial Unicode MS" w:eastAsia="黑体" w:cs="宋体"/>
                <w:bCs/>
                <w:kern w:val="0"/>
                <w:szCs w:val="21"/>
              </w:rPr>
              <w:t>万尾</w:t>
            </w:r>
            <w:r>
              <w:rPr>
                <w:rFonts w:ascii="黑体" w:hAnsi="Arial Unicode MS" w:eastAsia="黑体" w:cs="宋体"/>
                <w:bCs/>
                <w:kern w:val="0"/>
                <w:szCs w:val="21"/>
              </w:rPr>
              <w:t>)</w:t>
            </w:r>
          </w:p>
        </w:tc>
        <w:tc>
          <w:tcPr>
            <w:tcW w:w="576" w:type="dxa"/>
            <w:vMerge w:val="continue"/>
            <w:tcBorders>
              <w:top w:val="single" w:color="333333" w:sz="8" w:space="0"/>
              <w:left w:val="single" w:color="000000" w:sz="4" w:space="0"/>
              <w:bottom w:val="single" w:color="000000" w:sz="4" w:space="0"/>
              <w:right w:val="single" w:color="000000" w:sz="4" w:space="0"/>
            </w:tcBorders>
            <w:noWrap/>
            <w:vAlign w:val="center"/>
          </w:tcPr>
          <w:p>
            <w:pPr>
              <w:widowControl/>
              <w:jc w:val="left"/>
              <w:rPr>
                <w:rFonts w:ascii="Arial Unicode MS" w:hAnsi="Arial Unicode MS" w:cs="宋体"/>
                <w:b/>
                <w:bCs/>
                <w:kern w:val="0"/>
                <w:sz w:val="18"/>
                <w:szCs w:val="18"/>
              </w:rPr>
            </w:pPr>
          </w:p>
        </w:tc>
        <w:tc>
          <w:tcPr>
            <w:tcW w:w="1044" w:type="dxa"/>
            <w:vMerge w:val="continue"/>
            <w:tcBorders>
              <w:top w:val="single" w:color="333333" w:sz="8" w:space="0"/>
              <w:left w:val="single" w:color="000000" w:sz="4" w:space="0"/>
              <w:bottom w:val="single" w:color="000000" w:sz="4" w:space="0"/>
              <w:right w:val="single" w:color="333333" w:sz="8" w:space="0"/>
            </w:tcBorders>
            <w:noWrap/>
            <w:vAlign w:val="center"/>
          </w:tcPr>
          <w:p>
            <w:pPr>
              <w:widowControl/>
              <w:jc w:val="left"/>
              <w:rPr>
                <w:rFonts w:ascii="Arial Unicode MS" w:hAnsi="Arial Unicode MS" w:cs="宋体"/>
                <w:b/>
                <w:bCs/>
                <w:kern w:val="0"/>
                <w:sz w:val="18"/>
                <w:szCs w:val="18"/>
              </w:rPr>
            </w:pPr>
          </w:p>
        </w:tc>
      </w:tr>
      <w:tr>
        <w:tblPrEx>
          <w:tblCellMar>
            <w:top w:w="0" w:type="dxa"/>
            <w:left w:w="108" w:type="dxa"/>
            <w:bottom w:w="0" w:type="dxa"/>
            <w:right w:w="108" w:type="dxa"/>
          </w:tblCellMar>
        </w:tblPrEx>
        <w:trPr>
          <w:trHeight w:val="907" w:hRule="atLeast"/>
        </w:trPr>
        <w:tc>
          <w:tcPr>
            <w:tcW w:w="540" w:type="dxa"/>
            <w:tcBorders>
              <w:top w:val="nil"/>
              <w:left w:val="single" w:color="333333" w:sz="8" w:space="0"/>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r>
              <w:rPr>
                <w:rFonts w:hint="eastAsia" w:ascii="Arial Unicode MS" w:hAnsi="Arial Unicode MS" w:cs="宋体"/>
                <w:kern w:val="0"/>
                <w:sz w:val="18"/>
                <w:szCs w:val="18"/>
              </w:rPr>
              <w:t>　</w:t>
            </w:r>
          </w:p>
        </w:tc>
        <w:tc>
          <w:tcPr>
            <w:tcW w:w="10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1305" w:type="dxa"/>
            <w:tcBorders>
              <w:top w:val="nil"/>
              <w:left w:val="nil"/>
              <w:bottom w:val="single" w:color="000000" w:sz="4" w:space="0"/>
              <w:right w:val="single" w:color="000000" w:sz="4" w:space="0"/>
            </w:tcBorders>
            <w:noWrap/>
            <w:vAlign w:val="center"/>
          </w:tcPr>
          <w:p>
            <w:pPr>
              <w:widowControl/>
              <w:jc w:val="left"/>
              <w:rPr>
                <w:rFonts w:ascii="宋体" w:hAnsi="宋体" w:cs="宋体"/>
                <w:color w:val="0000FF"/>
                <w:kern w:val="0"/>
                <w:sz w:val="24"/>
                <w:u w:val="single"/>
              </w:rPr>
            </w:pPr>
          </w:p>
        </w:tc>
        <w:tc>
          <w:tcPr>
            <w:tcW w:w="86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60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11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74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715" w:type="dxa"/>
            <w:tcBorders>
              <w:top w:val="nil"/>
              <w:left w:val="nil"/>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r>
              <w:rPr>
                <w:rFonts w:hint="eastAsia" w:ascii="Arial Unicode MS" w:hAnsi="Arial Unicode MS" w:cs="宋体"/>
                <w:kern w:val="0"/>
                <w:sz w:val="18"/>
                <w:szCs w:val="18"/>
              </w:rPr>
              <w:t>　</w:t>
            </w:r>
          </w:p>
        </w:tc>
        <w:tc>
          <w:tcPr>
            <w:tcW w:w="776"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844"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90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10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c>
          <w:tcPr>
            <w:tcW w:w="576" w:type="dxa"/>
            <w:tcBorders>
              <w:top w:val="nil"/>
              <w:left w:val="nil"/>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r>
              <w:rPr>
                <w:rFonts w:hint="eastAsia" w:ascii="Arial Unicode MS" w:hAnsi="Arial Unicode MS" w:cs="宋体"/>
                <w:kern w:val="0"/>
                <w:sz w:val="18"/>
                <w:szCs w:val="18"/>
              </w:rPr>
              <w:t>　</w:t>
            </w:r>
          </w:p>
        </w:tc>
        <w:tc>
          <w:tcPr>
            <w:tcW w:w="1044" w:type="dxa"/>
            <w:tcBorders>
              <w:top w:val="nil"/>
              <w:left w:val="nil"/>
              <w:bottom w:val="single" w:color="000000" w:sz="4" w:space="0"/>
              <w:right w:val="single" w:color="333333" w:sz="8" w:space="0"/>
            </w:tcBorders>
            <w:noWrap/>
            <w:vAlign w:val="center"/>
          </w:tcPr>
          <w:p>
            <w:pPr>
              <w:widowControl/>
              <w:jc w:val="left"/>
              <w:rPr>
                <w:rFonts w:ascii="Arial Unicode MS" w:hAnsi="Arial Unicode MS" w:cs="宋体"/>
                <w:kern w:val="0"/>
                <w:sz w:val="18"/>
                <w:szCs w:val="18"/>
              </w:rPr>
            </w:pPr>
            <w:r>
              <w:rPr>
                <w:rFonts w:hint="eastAsia" w:ascii="Arial Unicode MS" w:hAnsi="Arial Unicode MS" w:cs="宋体"/>
                <w:kern w:val="0"/>
                <w:sz w:val="18"/>
                <w:szCs w:val="18"/>
              </w:rPr>
              <w:t>　</w:t>
            </w:r>
          </w:p>
        </w:tc>
      </w:tr>
      <w:tr>
        <w:tblPrEx>
          <w:tblCellMar>
            <w:top w:w="0" w:type="dxa"/>
            <w:left w:w="108" w:type="dxa"/>
            <w:bottom w:w="0" w:type="dxa"/>
            <w:right w:w="108" w:type="dxa"/>
          </w:tblCellMar>
        </w:tblPrEx>
        <w:trPr>
          <w:trHeight w:val="907" w:hRule="atLeast"/>
        </w:trPr>
        <w:tc>
          <w:tcPr>
            <w:tcW w:w="540" w:type="dxa"/>
            <w:tcBorders>
              <w:top w:val="nil"/>
              <w:left w:val="single" w:color="333333" w:sz="8" w:space="0"/>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p>
        </w:tc>
        <w:tc>
          <w:tcPr>
            <w:tcW w:w="10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1305" w:type="dxa"/>
            <w:tcBorders>
              <w:top w:val="nil"/>
              <w:left w:val="nil"/>
              <w:bottom w:val="single" w:color="000000" w:sz="4" w:space="0"/>
              <w:right w:val="single" w:color="000000" w:sz="4" w:space="0"/>
            </w:tcBorders>
            <w:noWrap/>
            <w:vAlign w:val="center"/>
          </w:tcPr>
          <w:p>
            <w:pPr>
              <w:widowControl/>
              <w:jc w:val="left"/>
              <w:rPr>
                <w:rFonts w:ascii="宋体" w:hAnsi="宋体" w:cs="宋体"/>
                <w:color w:val="0000FF"/>
                <w:kern w:val="0"/>
                <w:sz w:val="24"/>
                <w:u w:val="single"/>
              </w:rPr>
            </w:pPr>
          </w:p>
        </w:tc>
        <w:tc>
          <w:tcPr>
            <w:tcW w:w="86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60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11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4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15" w:type="dxa"/>
            <w:tcBorders>
              <w:top w:val="nil"/>
              <w:left w:val="nil"/>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p>
        </w:tc>
        <w:tc>
          <w:tcPr>
            <w:tcW w:w="776"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844"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90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10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576" w:type="dxa"/>
            <w:tcBorders>
              <w:top w:val="nil"/>
              <w:left w:val="nil"/>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p>
        </w:tc>
        <w:tc>
          <w:tcPr>
            <w:tcW w:w="1044" w:type="dxa"/>
            <w:tcBorders>
              <w:top w:val="nil"/>
              <w:left w:val="nil"/>
              <w:bottom w:val="single" w:color="000000" w:sz="4" w:space="0"/>
              <w:right w:val="single" w:color="333333" w:sz="8" w:space="0"/>
            </w:tcBorders>
            <w:noWrap/>
            <w:vAlign w:val="center"/>
          </w:tcPr>
          <w:p>
            <w:pPr>
              <w:widowControl/>
              <w:jc w:val="left"/>
              <w:rPr>
                <w:rFonts w:ascii="Arial Unicode MS" w:hAnsi="Arial Unicode MS" w:cs="宋体"/>
                <w:kern w:val="0"/>
                <w:sz w:val="18"/>
                <w:szCs w:val="18"/>
              </w:rPr>
            </w:pPr>
          </w:p>
        </w:tc>
      </w:tr>
      <w:tr>
        <w:tblPrEx>
          <w:tblCellMar>
            <w:top w:w="0" w:type="dxa"/>
            <w:left w:w="108" w:type="dxa"/>
            <w:bottom w:w="0" w:type="dxa"/>
            <w:right w:w="108" w:type="dxa"/>
          </w:tblCellMar>
        </w:tblPrEx>
        <w:trPr>
          <w:trHeight w:val="907" w:hRule="atLeast"/>
        </w:trPr>
        <w:tc>
          <w:tcPr>
            <w:tcW w:w="540" w:type="dxa"/>
            <w:tcBorders>
              <w:top w:val="nil"/>
              <w:left w:val="single" w:color="333333" w:sz="8" w:space="0"/>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p>
        </w:tc>
        <w:tc>
          <w:tcPr>
            <w:tcW w:w="10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1305" w:type="dxa"/>
            <w:tcBorders>
              <w:top w:val="nil"/>
              <w:left w:val="nil"/>
              <w:bottom w:val="single" w:color="000000" w:sz="4" w:space="0"/>
              <w:right w:val="single" w:color="000000" w:sz="4" w:space="0"/>
            </w:tcBorders>
            <w:noWrap/>
            <w:vAlign w:val="center"/>
          </w:tcPr>
          <w:p>
            <w:pPr>
              <w:widowControl/>
              <w:jc w:val="left"/>
              <w:rPr>
                <w:rFonts w:ascii="宋体" w:hAnsi="宋体" w:cs="宋体"/>
                <w:color w:val="0000FF"/>
                <w:kern w:val="0"/>
                <w:sz w:val="24"/>
                <w:u w:val="single"/>
              </w:rPr>
            </w:pPr>
          </w:p>
        </w:tc>
        <w:tc>
          <w:tcPr>
            <w:tcW w:w="86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60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11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4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15" w:type="dxa"/>
            <w:tcBorders>
              <w:top w:val="nil"/>
              <w:left w:val="nil"/>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p>
        </w:tc>
        <w:tc>
          <w:tcPr>
            <w:tcW w:w="776"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844"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90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10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576" w:type="dxa"/>
            <w:tcBorders>
              <w:top w:val="nil"/>
              <w:left w:val="nil"/>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p>
        </w:tc>
        <w:tc>
          <w:tcPr>
            <w:tcW w:w="1044" w:type="dxa"/>
            <w:tcBorders>
              <w:top w:val="nil"/>
              <w:left w:val="nil"/>
              <w:bottom w:val="single" w:color="000000" w:sz="4" w:space="0"/>
              <w:right w:val="single" w:color="333333" w:sz="8" w:space="0"/>
            </w:tcBorders>
            <w:noWrap/>
            <w:vAlign w:val="center"/>
          </w:tcPr>
          <w:p>
            <w:pPr>
              <w:widowControl/>
              <w:jc w:val="left"/>
              <w:rPr>
                <w:rFonts w:ascii="Arial Unicode MS" w:hAnsi="Arial Unicode MS" w:cs="宋体"/>
                <w:kern w:val="0"/>
                <w:sz w:val="18"/>
                <w:szCs w:val="18"/>
              </w:rPr>
            </w:pPr>
          </w:p>
        </w:tc>
      </w:tr>
      <w:tr>
        <w:tblPrEx>
          <w:tblCellMar>
            <w:top w:w="0" w:type="dxa"/>
            <w:left w:w="108" w:type="dxa"/>
            <w:bottom w:w="0" w:type="dxa"/>
            <w:right w:w="108" w:type="dxa"/>
          </w:tblCellMar>
        </w:tblPrEx>
        <w:trPr>
          <w:trHeight w:val="907" w:hRule="atLeast"/>
        </w:trPr>
        <w:tc>
          <w:tcPr>
            <w:tcW w:w="540" w:type="dxa"/>
            <w:tcBorders>
              <w:top w:val="nil"/>
              <w:left w:val="single" w:color="333333" w:sz="8" w:space="0"/>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p>
        </w:tc>
        <w:tc>
          <w:tcPr>
            <w:tcW w:w="10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1305" w:type="dxa"/>
            <w:tcBorders>
              <w:top w:val="nil"/>
              <w:left w:val="nil"/>
              <w:bottom w:val="single" w:color="000000" w:sz="4" w:space="0"/>
              <w:right w:val="single" w:color="000000" w:sz="4" w:space="0"/>
            </w:tcBorders>
            <w:noWrap/>
            <w:vAlign w:val="center"/>
          </w:tcPr>
          <w:p>
            <w:pPr>
              <w:widowControl/>
              <w:jc w:val="left"/>
              <w:rPr>
                <w:rFonts w:ascii="宋体" w:hAnsi="宋体" w:cs="宋体"/>
                <w:color w:val="0000FF"/>
                <w:kern w:val="0"/>
                <w:sz w:val="24"/>
                <w:u w:val="single"/>
              </w:rPr>
            </w:pPr>
          </w:p>
        </w:tc>
        <w:tc>
          <w:tcPr>
            <w:tcW w:w="86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60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11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4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15" w:type="dxa"/>
            <w:tcBorders>
              <w:top w:val="nil"/>
              <w:left w:val="nil"/>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p>
        </w:tc>
        <w:tc>
          <w:tcPr>
            <w:tcW w:w="776"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844"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90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72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1080" w:type="dxa"/>
            <w:tcBorders>
              <w:top w:val="nil"/>
              <w:left w:val="nil"/>
              <w:bottom w:val="single" w:color="000000" w:sz="4" w:space="0"/>
              <w:right w:val="single" w:color="000000" w:sz="4" w:space="0"/>
            </w:tcBorders>
            <w:noWrap/>
            <w:vAlign w:val="center"/>
          </w:tcPr>
          <w:p>
            <w:pPr>
              <w:widowControl/>
              <w:jc w:val="left"/>
              <w:rPr>
                <w:rFonts w:ascii="Arial Unicode MS" w:hAnsi="Arial Unicode MS" w:cs="宋体"/>
                <w:kern w:val="0"/>
                <w:sz w:val="18"/>
                <w:szCs w:val="18"/>
              </w:rPr>
            </w:pPr>
          </w:p>
        </w:tc>
        <w:tc>
          <w:tcPr>
            <w:tcW w:w="576" w:type="dxa"/>
            <w:tcBorders>
              <w:top w:val="nil"/>
              <w:left w:val="nil"/>
              <w:bottom w:val="single" w:color="000000" w:sz="4" w:space="0"/>
              <w:right w:val="single" w:color="000000" w:sz="4" w:space="0"/>
            </w:tcBorders>
            <w:noWrap/>
            <w:vAlign w:val="center"/>
          </w:tcPr>
          <w:p>
            <w:pPr>
              <w:widowControl/>
              <w:jc w:val="center"/>
              <w:rPr>
                <w:rFonts w:ascii="Arial Unicode MS" w:hAnsi="Arial Unicode MS" w:cs="宋体"/>
                <w:kern w:val="0"/>
                <w:sz w:val="18"/>
                <w:szCs w:val="18"/>
              </w:rPr>
            </w:pPr>
          </w:p>
        </w:tc>
        <w:tc>
          <w:tcPr>
            <w:tcW w:w="1044" w:type="dxa"/>
            <w:tcBorders>
              <w:top w:val="nil"/>
              <w:left w:val="nil"/>
              <w:bottom w:val="single" w:color="000000" w:sz="4" w:space="0"/>
              <w:right w:val="single" w:color="333333" w:sz="8" w:space="0"/>
            </w:tcBorders>
            <w:noWrap/>
            <w:vAlign w:val="center"/>
          </w:tcPr>
          <w:p>
            <w:pPr>
              <w:widowControl/>
              <w:jc w:val="left"/>
              <w:rPr>
                <w:rFonts w:ascii="Arial Unicode MS" w:hAnsi="Arial Unicode MS" w:cs="宋体"/>
                <w:kern w:val="0"/>
                <w:sz w:val="18"/>
                <w:szCs w:val="18"/>
              </w:rPr>
            </w:pPr>
          </w:p>
        </w:tc>
      </w:tr>
    </w:tbl>
    <w:p>
      <w:pPr>
        <w:rPr>
          <w:rFonts w:eastAsia="仿宋_GB2312"/>
          <w:color w:val="000000"/>
        </w:rPr>
      </w:pPr>
      <w:r>
        <w:rPr>
          <w:rFonts w:hint="eastAsia" w:eastAsia="仿宋_GB2312"/>
          <w:color w:val="000000"/>
        </w:rPr>
        <w:t>填表单位：（盖章）填表人：联系电话：填表日期：</w:t>
      </w:r>
    </w:p>
    <w:p>
      <w:pPr>
        <w:rPr>
          <w:rFonts w:eastAsia="仿宋_GB2312"/>
          <w:color w:val="000000"/>
        </w:rPr>
      </w:pPr>
    </w:p>
    <w:p>
      <w:pPr>
        <w:spacing w:line="360" w:lineRule="auto"/>
        <w:rPr>
          <w:rFonts w:ascii="黑体" w:hAnsi="宋体" w:eastAsia="黑体" w:cs="AdobeSongStd-Light"/>
          <w:color w:val="000000"/>
          <w:kern w:val="0"/>
          <w:sz w:val="28"/>
          <w:szCs w:val="28"/>
        </w:rPr>
      </w:pPr>
      <w:r>
        <w:rPr>
          <w:rFonts w:hint="eastAsia" w:eastAsia="仿宋_GB2312"/>
          <w:color w:val="000000"/>
        </w:rPr>
        <w:t>填表说明</w:t>
      </w:r>
      <w:r>
        <w:rPr>
          <w:rFonts w:eastAsia="仿宋_GB2312"/>
          <w:color w:val="000000"/>
        </w:rPr>
        <w:t>:</w:t>
      </w:r>
      <w:r>
        <w:rPr>
          <w:rFonts w:hint="eastAsia" w:eastAsia="仿宋_GB2312"/>
          <w:color w:val="000000"/>
        </w:rPr>
        <w:t>该表在《全国水生生物资源养护信息系统》填报</w:t>
      </w:r>
      <w:r>
        <w:rPr>
          <w:rFonts w:eastAsia="仿宋_GB2312"/>
          <w:color w:val="000000"/>
        </w:rPr>
        <w:t>“</w:t>
      </w:r>
      <w:r>
        <w:rPr>
          <w:rFonts w:hint="eastAsia" w:eastAsia="仿宋_GB2312"/>
          <w:color w:val="000000"/>
        </w:rPr>
        <w:t>资源养护信息采集</w:t>
      </w:r>
      <w:r>
        <w:rPr>
          <w:rFonts w:eastAsia="仿宋_GB2312"/>
          <w:color w:val="000000"/>
        </w:rPr>
        <w:t>-</w:t>
      </w:r>
      <w:r>
        <w:rPr>
          <w:rFonts w:hint="eastAsia" w:eastAsia="仿宋_GB2312"/>
          <w:color w:val="000000"/>
        </w:rPr>
        <w:t>数据报送</w:t>
      </w:r>
      <w:r>
        <w:rPr>
          <w:rFonts w:eastAsia="仿宋_GB2312"/>
          <w:color w:val="000000"/>
        </w:rPr>
        <w:t>-</w:t>
      </w:r>
      <w:r>
        <w:rPr>
          <w:rFonts w:hint="eastAsia" w:eastAsia="仿宋_GB2312"/>
          <w:color w:val="000000"/>
        </w:rPr>
        <w:t>水生生物增殖放流基础数据统计表</w:t>
      </w:r>
      <w:r>
        <w:rPr>
          <w:rFonts w:eastAsia="仿宋_GB2312"/>
          <w:color w:val="000000"/>
        </w:rPr>
        <w:t>”</w:t>
      </w:r>
      <w:r>
        <w:rPr>
          <w:rFonts w:hint="eastAsia" w:eastAsia="仿宋_GB2312"/>
          <w:color w:val="000000"/>
        </w:rPr>
        <w:t>相关数据后由系统自动生成，可在“汇总导出”中进行导出。</w:t>
      </w:r>
      <w:r>
        <w:rPr>
          <w:rFonts w:ascii="黑体" w:hAnsi="宋体" w:eastAsia="黑体" w:cs="AdobeSongStd-Light"/>
          <w:color w:val="000000"/>
          <w:kern w:val="0"/>
          <w:sz w:val="28"/>
          <w:szCs w:val="28"/>
        </w:rPr>
        <w:br w:type="page"/>
      </w: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2-13</w:t>
      </w:r>
    </w:p>
    <w:p>
      <w:pPr>
        <w:ind w:firstLine="482"/>
        <w:rPr>
          <w:rFonts w:eastAsia="仿宋_GB2312"/>
          <w:b/>
          <w:color w:val="000000"/>
          <w:sz w:val="24"/>
        </w:rPr>
      </w:pPr>
    </w:p>
    <w:p>
      <w:pPr>
        <w:ind w:firstLine="482"/>
        <w:jc w:val="center"/>
        <w:rPr>
          <w:rFonts w:eastAsia="黑体"/>
          <w:color w:val="000000"/>
          <w:sz w:val="30"/>
        </w:rPr>
      </w:pPr>
      <w:r>
        <w:rPr>
          <w:rFonts w:hint="eastAsia" w:ascii="黑体" w:hAnsi="Arial Unicode MS" w:eastAsia="黑体" w:cs="宋体"/>
          <w:bCs/>
          <w:kern w:val="0"/>
          <w:sz w:val="32"/>
          <w:szCs w:val="32"/>
        </w:rPr>
        <w:t>年度</w:t>
      </w:r>
      <w:r>
        <w:rPr>
          <w:rFonts w:hint="eastAsia" w:eastAsia="黑体"/>
          <w:color w:val="000000"/>
          <w:sz w:val="30"/>
        </w:rPr>
        <w:t>增殖放流供苗单位违规情况统计表</w:t>
      </w:r>
    </w:p>
    <w:tbl>
      <w:tblPr>
        <w:tblStyle w:val="5"/>
        <w:tblW w:w="0" w:type="auto"/>
        <w:tblInd w:w="0" w:type="dxa"/>
        <w:tblLayout w:type="fixed"/>
        <w:tblCellMar>
          <w:top w:w="0" w:type="dxa"/>
          <w:left w:w="108" w:type="dxa"/>
          <w:bottom w:w="0" w:type="dxa"/>
          <w:right w:w="108" w:type="dxa"/>
        </w:tblCellMar>
      </w:tblPr>
      <w:tblGrid>
        <w:gridCol w:w="723"/>
        <w:gridCol w:w="2694"/>
        <w:gridCol w:w="2410"/>
        <w:gridCol w:w="1985"/>
        <w:gridCol w:w="4110"/>
        <w:gridCol w:w="2410"/>
      </w:tblGrid>
      <w:tr>
        <w:tblPrEx>
          <w:tblCellMar>
            <w:top w:w="0" w:type="dxa"/>
            <w:left w:w="108" w:type="dxa"/>
            <w:bottom w:w="0" w:type="dxa"/>
            <w:right w:w="108" w:type="dxa"/>
          </w:tblCellMar>
        </w:tblPrEx>
        <w:trPr>
          <w:trHeight w:val="765" w:hRule="atLeast"/>
        </w:trPr>
        <w:tc>
          <w:tcPr>
            <w:tcW w:w="72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序号</w:t>
            </w:r>
          </w:p>
        </w:tc>
        <w:tc>
          <w:tcPr>
            <w:tcW w:w="2694"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供苗单位名称</w:t>
            </w:r>
          </w:p>
        </w:tc>
        <w:tc>
          <w:tcPr>
            <w:tcW w:w="2410"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建议单位</w:t>
            </w:r>
          </w:p>
        </w:tc>
        <w:tc>
          <w:tcPr>
            <w:tcW w:w="1985"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建议结果</w:t>
            </w:r>
          </w:p>
        </w:tc>
        <w:tc>
          <w:tcPr>
            <w:tcW w:w="4110"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理由</w:t>
            </w:r>
            <w:r>
              <w:rPr>
                <w:rFonts w:ascii="黑体" w:hAnsi="宋体" w:eastAsia="黑体" w:cs="宋体"/>
                <w:color w:val="000000"/>
                <w:kern w:val="0"/>
                <w:szCs w:val="21"/>
              </w:rPr>
              <w:t>/</w:t>
            </w:r>
            <w:r>
              <w:rPr>
                <w:rFonts w:hint="eastAsia" w:ascii="黑体" w:hAnsi="宋体" w:eastAsia="黑体" w:cs="宋体"/>
                <w:color w:val="000000"/>
                <w:kern w:val="0"/>
                <w:szCs w:val="21"/>
              </w:rPr>
              <w:t>违规类型</w:t>
            </w:r>
          </w:p>
        </w:tc>
        <w:tc>
          <w:tcPr>
            <w:tcW w:w="2410" w:type="dxa"/>
            <w:tcBorders>
              <w:top w:val="single" w:color="auto" w:sz="4"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r>
              <w:rPr>
                <w:rFonts w:hint="eastAsia" w:ascii="黑体" w:hAnsi="宋体" w:eastAsia="黑体" w:cs="宋体"/>
                <w:color w:val="000000"/>
                <w:kern w:val="0"/>
                <w:szCs w:val="21"/>
              </w:rPr>
              <w:t>备注</w:t>
            </w: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2694" w:type="dxa"/>
            <w:tcBorders>
              <w:top w:val="nil"/>
              <w:left w:val="nil"/>
              <w:bottom w:val="single" w:color="auto" w:sz="4" w:space="0"/>
              <w:right w:val="single" w:color="auto" w:sz="4" w:space="0"/>
            </w:tcBorders>
            <w:noWrap/>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98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4110"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2694" w:type="dxa"/>
            <w:tcBorders>
              <w:top w:val="nil"/>
              <w:left w:val="nil"/>
              <w:bottom w:val="single" w:color="auto" w:sz="4" w:space="0"/>
              <w:right w:val="single" w:color="auto" w:sz="4" w:space="0"/>
            </w:tcBorders>
            <w:noWrap/>
          </w:tcPr>
          <w:p>
            <w:pPr>
              <w:widowControl/>
              <w:rPr>
                <w:color w:val="000000"/>
                <w:kern w:val="0"/>
                <w:sz w:val="32"/>
                <w:szCs w:val="32"/>
              </w:rPr>
            </w:pPr>
          </w:p>
        </w:tc>
        <w:tc>
          <w:tcPr>
            <w:tcW w:w="2410" w:type="dxa"/>
            <w:tcBorders>
              <w:top w:val="single" w:color="auto" w:sz="4" w:space="0"/>
              <w:left w:val="nil"/>
              <w:bottom w:val="single" w:color="auto" w:sz="4" w:space="0"/>
              <w:right w:val="single" w:color="000000" w:sz="4" w:space="0"/>
            </w:tcBorders>
            <w:noWrap/>
            <w:vAlign w:val="bottom"/>
          </w:tcPr>
          <w:p>
            <w:pPr>
              <w:widowControl/>
              <w:rPr>
                <w:rFonts w:ascii="仿宋_GB2312" w:hAnsi="宋体" w:eastAsia="仿宋_GB2312" w:cs="宋体"/>
                <w:color w:val="000000"/>
                <w:kern w:val="0"/>
                <w:sz w:val="32"/>
                <w:szCs w:val="32"/>
              </w:rPr>
            </w:pPr>
          </w:p>
        </w:tc>
        <w:tc>
          <w:tcPr>
            <w:tcW w:w="198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4110"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2694" w:type="dxa"/>
            <w:tcBorders>
              <w:top w:val="nil"/>
              <w:left w:val="nil"/>
              <w:bottom w:val="single" w:color="auto" w:sz="4" w:space="0"/>
              <w:right w:val="single" w:color="auto" w:sz="4" w:space="0"/>
            </w:tcBorders>
            <w:noWrap/>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98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4110"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2694" w:type="dxa"/>
            <w:tcBorders>
              <w:top w:val="nil"/>
              <w:left w:val="nil"/>
              <w:bottom w:val="single" w:color="auto" w:sz="4" w:space="0"/>
              <w:right w:val="single" w:color="auto" w:sz="4" w:space="0"/>
            </w:tcBorders>
            <w:noWrap/>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98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4110"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2694" w:type="dxa"/>
            <w:tcBorders>
              <w:top w:val="nil"/>
              <w:left w:val="nil"/>
              <w:bottom w:val="single" w:color="auto" w:sz="4" w:space="0"/>
              <w:right w:val="single" w:color="auto" w:sz="4" w:space="0"/>
            </w:tcBorders>
            <w:noWrap/>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98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4110"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r>
      <w:tr>
        <w:tblPrEx>
          <w:tblCellMar>
            <w:top w:w="0" w:type="dxa"/>
            <w:left w:w="108" w:type="dxa"/>
            <w:bottom w:w="0" w:type="dxa"/>
            <w:right w:w="108" w:type="dxa"/>
          </w:tblCellMar>
        </w:tblPrEx>
        <w:trPr>
          <w:trHeight w:val="420" w:hRule="atLeast"/>
        </w:trPr>
        <w:tc>
          <w:tcPr>
            <w:tcW w:w="723" w:type="dxa"/>
            <w:tcBorders>
              <w:top w:val="nil"/>
              <w:left w:val="single" w:color="auto" w:sz="4" w:space="0"/>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2694" w:type="dxa"/>
            <w:tcBorders>
              <w:top w:val="nil"/>
              <w:left w:val="nil"/>
              <w:bottom w:val="single" w:color="auto" w:sz="4" w:space="0"/>
              <w:right w:val="single" w:color="auto" w:sz="4" w:space="0"/>
            </w:tcBorders>
            <w:noWrap/>
            <w:vAlign w:val="center"/>
          </w:tcPr>
          <w:p>
            <w:pPr>
              <w:widowControl/>
              <w:jc w:val="center"/>
              <w:rPr>
                <w:rFonts w:ascii="黑体" w:hAnsi="宋体" w:eastAsia="黑体" w:cs="宋体"/>
                <w:color w:val="000000"/>
                <w:kern w:val="0"/>
                <w:szCs w:val="21"/>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1985"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c>
          <w:tcPr>
            <w:tcW w:w="4110" w:type="dxa"/>
            <w:tcBorders>
              <w:top w:val="single" w:color="auto" w:sz="4" w:space="0"/>
              <w:left w:val="nil"/>
              <w:bottom w:val="single" w:color="auto" w:sz="4" w:space="0"/>
              <w:right w:val="single" w:color="auto" w:sz="4" w:space="0"/>
            </w:tcBorders>
            <w:noWrap/>
            <w:vAlign w:val="bottom"/>
          </w:tcPr>
          <w:p>
            <w:pPr>
              <w:widowControl/>
              <w:rPr>
                <w:color w:val="000000"/>
                <w:kern w:val="0"/>
                <w:sz w:val="32"/>
                <w:szCs w:val="32"/>
              </w:rPr>
            </w:pPr>
          </w:p>
        </w:tc>
        <w:tc>
          <w:tcPr>
            <w:tcW w:w="2410" w:type="dxa"/>
            <w:tcBorders>
              <w:top w:val="single" w:color="auto" w:sz="4" w:space="0"/>
              <w:left w:val="nil"/>
              <w:bottom w:val="single" w:color="auto" w:sz="4" w:space="0"/>
              <w:right w:val="single" w:color="auto" w:sz="4" w:space="0"/>
            </w:tcBorders>
            <w:noWrap/>
            <w:vAlign w:val="bottom"/>
          </w:tcPr>
          <w:p>
            <w:pPr>
              <w:widowControl/>
              <w:rPr>
                <w:rFonts w:ascii="仿宋_GB2312" w:hAnsi="宋体" w:eastAsia="仿宋_GB2312" w:cs="宋体"/>
                <w:color w:val="000000"/>
                <w:kern w:val="0"/>
                <w:sz w:val="32"/>
                <w:szCs w:val="32"/>
              </w:rPr>
            </w:pPr>
          </w:p>
        </w:tc>
      </w:tr>
    </w:tbl>
    <w:p>
      <w:pPr>
        <w:rPr>
          <w:rFonts w:eastAsia="仿宋_GB2312"/>
          <w:color w:val="000000"/>
          <w:sz w:val="28"/>
        </w:rPr>
      </w:pPr>
      <w:r>
        <w:rPr>
          <w:rFonts w:hint="eastAsia" w:eastAsia="仿宋_GB2312"/>
          <w:color w:val="000000"/>
        </w:rPr>
        <w:t>填表单位：（盖章）填表人：联系电话：填表日期：</w:t>
      </w:r>
    </w:p>
    <w:p>
      <w:pPr>
        <w:spacing w:line="360" w:lineRule="auto"/>
        <w:rPr>
          <w:rFonts w:ascii="宋体"/>
          <w:szCs w:val="21"/>
        </w:rPr>
      </w:pPr>
      <w:r>
        <w:rPr>
          <w:rFonts w:hint="eastAsia" w:eastAsia="仿宋_GB2312"/>
          <w:color w:val="000000"/>
        </w:rPr>
        <w:t>填表说明</w:t>
      </w:r>
      <w:r>
        <w:rPr>
          <w:rFonts w:eastAsia="仿宋_GB2312"/>
          <w:color w:val="000000"/>
        </w:rPr>
        <w:t xml:space="preserve">: </w:t>
      </w:r>
      <w:r>
        <w:rPr>
          <w:rFonts w:hint="eastAsia" w:eastAsia="仿宋_GB2312"/>
          <w:color w:val="000000"/>
        </w:rPr>
        <w:t>该表在《全国水生生物资源养护信息系统》填报</w:t>
      </w:r>
      <w:r>
        <w:rPr>
          <w:rFonts w:eastAsia="仿宋_GB2312"/>
          <w:color w:val="000000"/>
        </w:rPr>
        <w:t>“</w:t>
      </w:r>
      <w:r>
        <w:rPr>
          <w:rFonts w:hint="eastAsia" w:eastAsia="仿宋_GB2312"/>
          <w:color w:val="000000"/>
        </w:rPr>
        <w:t>供苗单位信息</w:t>
      </w:r>
      <w:r>
        <w:rPr>
          <w:rFonts w:eastAsia="仿宋_GB2312"/>
          <w:color w:val="000000"/>
        </w:rPr>
        <w:t>-</w:t>
      </w:r>
      <w:r>
        <w:rPr>
          <w:rFonts w:hint="eastAsia" w:eastAsia="仿宋_GB2312"/>
          <w:color w:val="000000"/>
        </w:rPr>
        <w:t>单位评价列表</w:t>
      </w:r>
      <w:r>
        <w:rPr>
          <w:rFonts w:eastAsia="仿宋_GB2312"/>
          <w:color w:val="000000"/>
        </w:rPr>
        <w:t>-</w:t>
      </w:r>
      <w:r>
        <w:rPr>
          <w:rFonts w:hint="eastAsia" w:eastAsia="仿宋_GB2312"/>
          <w:color w:val="000000"/>
        </w:rPr>
        <w:t>评价</w:t>
      </w:r>
      <w:r>
        <w:rPr>
          <w:rFonts w:eastAsia="仿宋_GB2312"/>
          <w:color w:val="000000"/>
        </w:rPr>
        <w:t>”</w:t>
      </w:r>
      <w:r>
        <w:rPr>
          <w:rFonts w:hint="eastAsia" w:eastAsia="仿宋_GB2312"/>
          <w:color w:val="000000"/>
        </w:rPr>
        <w:t>相关数据后由系统自动生成，可在“汇总导出”中进行导出。</w:t>
      </w:r>
    </w:p>
    <w:p/>
    <w:p>
      <w:pPr>
        <w:widowControl/>
        <w:jc w:val="left"/>
      </w:pPr>
    </w:p>
    <w:p>
      <w:pPr>
        <w:sectPr>
          <w:pgSz w:w="16838" w:h="11906" w:orient="landscape"/>
          <w:pgMar w:top="1800" w:right="1440" w:bottom="1800" w:left="1440" w:header="851" w:footer="992" w:gutter="0"/>
          <w:cols w:space="720" w:num="1"/>
          <w:docGrid w:type="lines" w:linePitch="312" w:charSpace="0"/>
        </w:sectPr>
      </w:pPr>
    </w:p>
    <w:p>
      <w:pPr>
        <w:autoSpaceDE w:val="0"/>
        <w:autoSpaceDN w:val="0"/>
        <w:adjustRightInd w:val="0"/>
        <w:jc w:val="left"/>
        <w:rPr>
          <w:rFonts w:ascii="黑体" w:hAnsi="宋体" w:eastAsia="黑体" w:cs="AdobeSongStd-Light"/>
          <w:color w:val="000000"/>
          <w:kern w:val="0"/>
          <w:sz w:val="28"/>
          <w:szCs w:val="28"/>
        </w:rPr>
      </w:pPr>
      <w:r>
        <w:rPr>
          <w:rFonts w:hint="eastAsia" w:ascii="黑体" w:hAnsi="宋体" w:eastAsia="黑体" w:cs="AdobeSongStd-Light"/>
          <w:color w:val="000000"/>
          <w:kern w:val="0"/>
          <w:sz w:val="28"/>
          <w:szCs w:val="28"/>
        </w:rPr>
        <w:t>附件</w:t>
      </w:r>
      <w:r>
        <w:rPr>
          <w:rFonts w:ascii="黑体" w:hAnsi="宋体" w:eastAsia="黑体" w:cs="AdobeSongStd-Light"/>
          <w:color w:val="000000"/>
          <w:kern w:val="0"/>
          <w:sz w:val="28"/>
          <w:szCs w:val="28"/>
        </w:rPr>
        <w:t>3</w:t>
      </w:r>
    </w:p>
    <w:p>
      <w:pPr>
        <w:snapToGrid w:val="0"/>
        <w:jc w:val="center"/>
        <w:rPr>
          <w:rFonts w:ascii="黑体" w:eastAsia="黑体" w:cs="宋体"/>
          <w:bCs/>
          <w:kern w:val="0"/>
          <w:sz w:val="28"/>
          <w:szCs w:val="28"/>
        </w:rPr>
      </w:pPr>
    </w:p>
    <w:p>
      <w:pPr>
        <w:spacing w:line="360" w:lineRule="auto"/>
        <w:jc w:val="center"/>
        <w:rPr>
          <w:rFonts w:ascii="黑体" w:eastAsia="黑体" w:cs="宋体"/>
          <w:bCs/>
          <w:kern w:val="0"/>
          <w:sz w:val="28"/>
          <w:szCs w:val="28"/>
        </w:rPr>
      </w:pPr>
      <w:bookmarkStart w:id="0" w:name="OLE_LINK1"/>
      <w:bookmarkStart w:id="1" w:name="OLE_LINK2"/>
      <w:r>
        <w:rPr>
          <w:rFonts w:hint="eastAsia" w:ascii="黑体" w:eastAsia="黑体" w:cs="宋体"/>
          <w:bCs/>
          <w:kern w:val="0"/>
          <w:sz w:val="28"/>
          <w:szCs w:val="28"/>
        </w:rPr>
        <w:t>全国水生生物资源养护信息采集系统网上报送操作说明</w:t>
      </w:r>
      <w:bookmarkEnd w:id="0"/>
      <w:bookmarkEnd w:id="1"/>
    </w:p>
    <w:p>
      <w:pPr>
        <w:snapToGrid w:val="0"/>
        <w:jc w:val="center"/>
        <w:rPr>
          <w:rFonts w:ascii="黑体" w:eastAsia="黑体" w:cs="宋体"/>
          <w:bCs/>
          <w:kern w:val="0"/>
          <w:sz w:val="28"/>
          <w:szCs w:val="28"/>
        </w:rPr>
      </w:pPr>
    </w:p>
    <w:p>
      <w:pPr>
        <w:spacing w:line="360" w:lineRule="auto"/>
        <w:ind w:firstLine="420" w:firstLineChars="200"/>
      </w:pPr>
      <w:r>
        <w:rPr>
          <w:rFonts w:hint="eastAsia"/>
        </w:rPr>
        <w:t>全国水生生物资源养护信息采集系统（以下简称信息系统）是全国水生生物资源养护基础信息网上在线管理系统，通过信息系统实现对资源养护基础信息的报送、汇总、分析等的信息化管理。</w:t>
      </w:r>
    </w:p>
    <w:p>
      <w:pPr>
        <w:spacing w:line="360" w:lineRule="auto"/>
        <w:ind w:firstLine="420" w:firstLineChars="200"/>
        <w:rPr>
          <w:rFonts w:ascii="黑体" w:hAnsi="宋体" w:eastAsia="黑体"/>
          <w:color w:val="000000"/>
          <w:szCs w:val="21"/>
        </w:rPr>
      </w:pPr>
      <w:r>
        <w:rPr>
          <w:rFonts w:hint="eastAsia" w:ascii="黑体" w:hAnsi="宋体" w:eastAsia="黑体"/>
          <w:color w:val="000000"/>
          <w:szCs w:val="21"/>
        </w:rPr>
        <w:t>一、信息系统的流程</w:t>
      </w:r>
    </w:p>
    <w:p>
      <w:pPr>
        <w:spacing w:line="360" w:lineRule="auto"/>
        <w:ind w:firstLine="422" w:firstLineChars="200"/>
      </w:pPr>
      <w:r>
        <w:rPr>
          <w:rFonts w:ascii="宋体" w:hAnsi="宋体"/>
          <w:b/>
        </w:rPr>
        <w:t>1.</w:t>
      </w:r>
      <w:r>
        <w:rPr>
          <w:rFonts w:hint="eastAsia" w:ascii="宋体" w:hAnsi="宋体"/>
          <w:b/>
        </w:rPr>
        <w:t>完成省级系统设置。</w:t>
      </w:r>
      <w:r>
        <w:rPr>
          <w:rFonts w:hint="eastAsia" w:ascii="宋体" w:hAnsi="宋体"/>
        </w:rPr>
        <w:t>农业农村部</w:t>
      </w:r>
      <w:r>
        <w:rPr>
          <w:rFonts w:hint="eastAsia"/>
        </w:rPr>
        <w:t>管理员为省级管理员和部直属用户分配用户账号、填报报表、放流物种。放流水域依据《农业部关于做好“十三五”水生生物增殖放流工作的指导意见》（以下简称《指导意见》）附表由系统自动分配完成。各省如需增加《指导意见》附表外的放流物种和放流水域，可联系农业农村部管理员（系统支持单位）由其在系统后台进行添加。</w:t>
      </w:r>
    </w:p>
    <w:p>
      <w:pPr>
        <w:spacing w:line="360" w:lineRule="auto"/>
        <w:ind w:firstLine="422" w:firstLineChars="200"/>
        <w:rPr>
          <w:rFonts w:ascii="宋体"/>
        </w:rPr>
      </w:pPr>
      <w:r>
        <w:rPr>
          <w:rFonts w:ascii="宋体" w:hAnsi="宋体"/>
          <w:b/>
        </w:rPr>
        <w:t>2.</w:t>
      </w:r>
      <w:r>
        <w:rPr>
          <w:rFonts w:hint="eastAsia" w:ascii="宋体" w:hAnsi="宋体"/>
          <w:b/>
        </w:rPr>
        <w:t>完成地市级系统设置。</w:t>
      </w:r>
      <w:r>
        <w:rPr>
          <w:rFonts w:hint="eastAsia" w:ascii="宋体" w:hAnsi="宋体"/>
        </w:rPr>
        <w:t>省级管理员为地市级管理员和省本级用户分配用户账号、填报报表、放流物种以及放流地点。各地市如需增加《指导意见》附表外的放流物种和放流水域，可联系省级管理员，由其汇总后报农业农村部管理员添加。</w:t>
      </w:r>
    </w:p>
    <w:p>
      <w:pPr>
        <w:spacing w:line="360" w:lineRule="auto"/>
        <w:ind w:firstLine="422" w:firstLineChars="200"/>
        <w:rPr>
          <w:rFonts w:ascii="宋体"/>
        </w:rPr>
      </w:pPr>
      <w:r>
        <w:rPr>
          <w:rFonts w:ascii="宋体" w:hAnsi="宋体"/>
          <w:b/>
        </w:rPr>
        <w:t>3.</w:t>
      </w:r>
      <w:r>
        <w:rPr>
          <w:rFonts w:hint="eastAsia" w:ascii="宋体" w:hAnsi="宋体"/>
          <w:b/>
        </w:rPr>
        <w:t>完成区县级系统设置。</w:t>
      </w:r>
      <w:r>
        <w:rPr>
          <w:rFonts w:hint="eastAsia" w:ascii="宋体" w:hAnsi="宋体"/>
        </w:rPr>
        <w:t>地市级管理员为区县级用户和地市本级用户分配用户账号、填报报表、放流物种以及放流地点。各区县如需增加《指导意见》附表外的放流物种和放流水域，可联系地市级管理员，由其汇总后报省级管理员。</w:t>
      </w:r>
    </w:p>
    <w:p>
      <w:pPr>
        <w:spacing w:line="360" w:lineRule="auto"/>
        <w:ind w:firstLine="422" w:firstLineChars="200"/>
        <w:rPr>
          <w:rFonts w:ascii="宋体"/>
          <w:szCs w:val="21"/>
        </w:rPr>
      </w:pPr>
      <w:r>
        <w:rPr>
          <w:rFonts w:ascii="宋体" w:hAnsi="宋体"/>
          <w:b/>
        </w:rPr>
        <w:t>4.</w:t>
      </w:r>
      <w:r>
        <w:rPr>
          <w:rFonts w:hint="eastAsia" w:ascii="宋体" w:hAnsi="宋体"/>
          <w:b/>
        </w:rPr>
        <w:t>填报供苗单位信息。</w:t>
      </w:r>
      <w:r>
        <w:rPr>
          <w:rFonts w:hint="eastAsia" w:ascii="宋体" w:hAnsi="宋体"/>
        </w:rPr>
        <w:t>根据《农业部办公厅关于进一步规范水生生物增殖放流工作的通知》（农办渔〔</w:t>
      </w:r>
      <w:r>
        <w:rPr>
          <w:rFonts w:ascii="宋体" w:hAnsi="宋体"/>
        </w:rPr>
        <w:t>2017</w:t>
      </w:r>
      <w:r>
        <w:rPr>
          <w:rFonts w:hint="eastAsia" w:ascii="宋体" w:hAnsi="宋体"/>
        </w:rPr>
        <w:t>〕</w:t>
      </w:r>
      <w:r>
        <w:rPr>
          <w:rFonts w:ascii="宋体" w:hAnsi="宋体"/>
        </w:rPr>
        <w:t>49</w:t>
      </w:r>
      <w:r>
        <w:rPr>
          <w:rFonts w:hint="eastAsia" w:ascii="宋体" w:hAnsi="宋体"/>
        </w:rPr>
        <w:t>号）要求，县级以上渔业主管部门要对区域内增殖放流供苗单位进行全面登记，依托信息系统完善本辖区内供苗单位信息库基础信息，建立统一的管理信息档案。报表填报用户（包括区县级用户、部直属用户、省本级用户、地市本级用户）在上级单位分配用户账号、填报报表、放流物种以及放流地点后即可进行信息填报。首先进行供苗单位信息填报，填报方式有两种，</w:t>
      </w:r>
      <w:r>
        <w:rPr>
          <w:rFonts w:hint="eastAsia" w:ascii="宋体" w:hAnsi="宋体"/>
          <w:szCs w:val="21"/>
        </w:rPr>
        <w:t>一种由供苗单位网上系统注册后自行填写，再由所属渔业行政主管部门审核后相关信息即进入供苗单位基础数据库；另一种由渔业部门（包括各级管理员和报表填报用户）根据供苗单位报送的纸质材料进行新增填报，填报完成后相关信息即进入供苗单位基础数据库。</w:t>
      </w:r>
    </w:p>
    <w:p>
      <w:pPr>
        <w:spacing w:line="360" w:lineRule="auto"/>
        <w:ind w:firstLine="422" w:firstLineChars="200"/>
        <w:rPr>
          <w:rFonts w:ascii="宋体"/>
        </w:rPr>
      </w:pPr>
      <w:r>
        <w:rPr>
          <w:rFonts w:ascii="宋体" w:hAnsi="宋体"/>
          <w:b/>
        </w:rPr>
        <w:t>5.</w:t>
      </w:r>
      <w:r>
        <w:rPr>
          <w:rFonts w:hint="eastAsia" w:ascii="宋体" w:hAnsi="宋体"/>
          <w:b/>
        </w:rPr>
        <w:t>填报资源养护基础报表。</w:t>
      </w:r>
      <w:r>
        <w:rPr>
          <w:rFonts w:hint="eastAsia" w:ascii="宋体" w:hAnsi="宋体"/>
        </w:rPr>
        <w:t>报表填报用户完善区域内增殖放流供苗单位基础信息后即可开展资源养护基础报表填写。根据每一个基础报表的填报说明完成对应报表填写，填报完成后点击数据报送即完成基础报表的上报工作，报表填报用户根据报表分配情况最多需要填报</w:t>
      </w:r>
      <w:r>
        <w:rPr>
          <w:rFonts w:ascii="宋体" w:hAnsi="宋体"/>
        </w:rPr>
        <w:t>8</w:t>
      </w:r>
      <w:r>
        <w:rPr>
          <w:rFonts w:hint="eastAsia" w:ascii="宋体" w:hAnsi="宋体"/>
        </w:rPr>
        <w:t>个报表。各级管理员对报表填报用户上报的基础报表进行逐步审核，存在问题的可进行驳回处理，由报表填报用户修改后再行上报。全部基础报表经农业农村部管理员审核通过后即完成资源养护基础信息上报工作。</w:t>
      </w:r>
    </w:p>
    <w:p>
      <w:pPr>
        <w:spacing w:line="360" w:lineRule="auto"/>
        <w:ind w:firstLine="422" w:firstLineChars="200"/>
        <w:rPr>
          <w:rFonts w:ascii="宋体"/>
        </w:rPr>
      </w:pPr>
      <w:r>
        <w:rPr>
          <w:rFonts w:ascii="宋体" w:hAnsi="宋体"/>
          <w:b/>
        </w:rPr>
        <w:t>6.</w:t>
      </w:r>
      <w:r>
        <w:rPr>
          <w:rFonts w:hint="eastAsia" w:ascii="宋体" w:hAnsi="宋体"/>
          <w:b/>
        </w:rPr>
        <w:t>统计报表打印上报。</w:t>
      </w:r>
      <w:r>
        <w:rPr>
          <w:rFonts w:hint="eastAsia" w:ascii="宋体" w:hAnsi="宋体"/>
        </w:rPr>
        <w:t>完成资源养护基础信息上报工作后，报表填报用户和各级管理员通过系统汇总导出功能导出</w:t>
      </w:r>
      <w:r>
        <w:rPr>
          <w:rFonts w:ascii="宋体" w:hAnsi="宋体"/>
        </w:rPr>
        <w:t>13</w:t>
      </w:r>
      <w:r>
        <w:rPr>
          <w:rFonts w:hint="eastAsia" w:ascii="宋体" w:hAnsi="宋体"/>
        </w:rPr>
        <w:t>个统计报表，连同相关总结材料签字盖章后以正式文件方式报送上级单位。</w:t>
      </w:r>
    </w:p>
    <w:p>
      <w:pPr>
        <w:spacing w:line="360" w:lineRule="auto"/>
        <w:ind w:firstLine="422" w:firstLineChars="200"/>
        <w:rPr>
          <w:rFonts w:ascii="宋体"/>
        </w:rPr>
      </w:pPr>
      <w:r>
        <w:rPr>
          <w:rFonts w:ascii="宋体" w:hAnsi="宋体"/>
          <w:b/>
        </w:rPr>
        <w:t>7.</w:t>
      </w:r>
      <w:r>
        <w:rPr>
          <w:rFonts w:hint="eastAsia" w:ascii="宋体" w:hAnsi="宋体"/>
          <w:b/>
        </w:rPr>
        <w:t>简易流程。</w:t>
      </w:r>
      <w:r>
        <w:rPr>
          <w:rFonts w:hint="eastAsia" w:ascii="宋体" w:hAnsi="宋体"/>
        </w:rPr>
        <w:t>如果信息采集工作还未延伸到地市级或县级，相应地市级或区县级的报送材料可由省本级或地市本级根据其报送的纸质或电子版材料进行填报。以省本级报送为例，具体流程为：首先由省级管理员为省本级用户分配用户账号、填报报表、放流物种以及放流地点，然后省本级用户填报供苗单位信息并进行年度上报，再填写资源养护基础报表进行上报，经省级管理员审核后报送农业农村部。</w:t>
      </w:r>
    </w:p>
    <w:p>
      <w:pPr>
        <w:spacing w:line="360" w:lineRule="auto"/>
        <w:ind w:firstLine="420" w:firstLineChars="200"/>
        <w:rPr>
          <w:rFonts w:ascii="黑体" w:hAnsi="宋体" w:eastAsia="黑体"/>
          <w:color w:val="000000"/>
          <w:szCs w:val="21"/>
        </w:rPr>
      </w:pPr>
      <w:r>
        <w:rPr>
          <w:rFonts w:hint="eastAsia" w:ascii="黑体" w:hAnsi="宋体" w:eastAsia="黑体"/>
          <w:color w:val="000000"/>
          <w:szCs w:val="21"/>
        </w:rPr>
        <w:t>二、信息系统登录</w:t>
      </w:r>
    </w:p>
    <w:p>
      <w:pPr>
        <w:tabs>
          <w:tab w:val="left" w:pos="3585"/>
          <w:tab w:val="center" w:pos="4153"/>
          <w:tab w:val="left" w:pos="5205"/>
        </w:tabs>
        <w:spacing w:line="360" w:lineRule="auto"/>
        <w:ind w:firstLine="420" w:firstLineChars="200"/>
        <w:rPr>
          <w:rFonts w:ascii="宋体" w:hAnsi="宋体"/>
        </w:rPr>
      </w:pPr>
      <w:r>
        <w:rPr>
          <w:rFonts w:hint="eastAsia" w:ascii="宋体" w:hAnsi="宋体"/>
        </w:rPr>
        <w:t>直接输入网址</w:t>
      </w:r>
      <w:r>
        <w:rPr>
          <w:rFonts w:ascii="宋体" w:hAnsi="宋体"/>
        </w:rPr>
        <w:t>http://znyj.nftec.agri.cn</w:t>
      </w:r>
      <w:r>
        <w:rPr>
          <w:rFonts w:hint="eastAsia" w:ascii="宋体" w:hAnsi="宋体"/>
        </w:rPr>
        <w:t>即可进入信息系统的用户登录界面。见图</w:t>
      </w:r>
      <w:r>
        <w:rPr>
          <w:rFonts w:ascii="宋体" w:hAnsi="宋体"/>
        </w:rPr>
        <w:t>1</w:t>
      </w:r>
      <w:r>
        <w:rPr>
          <w:rFonts w:hint="eastAsia" w:ascii="宋体" w:hAnsi="宋体"/>
        </w:rPr>
        <w:t>。</w:t>
      </w:r>
    </w:p>
    <w:p>
      <w:pPr>
        <w:tabs>
          <w:tab w:val="left" w:pos="3585"/>
          <w:tab w:val="center" w:pos="4153"/>
          <w:tab w:val="left" w:pos="5205"/>
        </w:tabs>
        <w:spacing w:line="360" w:lineRule="auto"/>
        <w:ind w:firstLine="422" w:firstLineChars="200"/>
        <w:rPr>
          <w:rFonts w:ascii="宋体" w:hAnsi="宋体"/>
          <w:b/>
        </w:rPr>
      </w:pPr>
      <w:r>
        <w:rPr>
          <w:rFonts w:hint="eastAsia" w:ascii="宋体" w:hAnsi="宋体"/>
          <w:b/>
        </w:rPr>
        <w:t>信息系统</w:t>
      </w:r>
      <w:r>
        <w:rPr>
          <w:rFonts w:ascii="宋体" w:hAnsi="宋体"/>
          <w:b/>
        </w:rPr>
        <w:t>仅</w:t>
      </w:r>
      <w:r>
        <w:rPr>
          <w:rFonts w:hint="eastAsia" w:ascii="宋体" w:hAnsi="宋体"/>
          <w:b/>
        </w:rPr>
        <w:t>支持</w:t>
      </w:r>
      <w:r>
        <w:rPr>
          <w:rFonts w:ascii="宋体" w:hAnsi="宋体"/>
          <w:b/>
        </w:rPr>
        <w:t>chrome</w:t>
      </w:r>
      <w:r>
        <w:rPr>
          <w:rFonts w:hint="eastAsia" w:ascii="宋体" w:hAnsi="宋体"/>
          <w:b/>
        </w:rPr>
        <w:t>（谷歌）</w:t>
      </w:r>
      <w:r>
        <w:rPr>
          <w:rFonts w:ascii="宋体" w:hAnsi="宋体"/>
          <w:b/>
        </w:rPr>
        <w:t>内核</w:t>
      </w:r>
      <w:r>
        <w:rPr>
          <w:rFonts w:hint="eastAsia" w:ascii="宋体" w:hAnsi="宋体"/>
          <w:b/>
        </w:rPr>
        <w:t>的</w:t>
      </w:r>
      <w:r>
        <w:rPr>
          <w:rFonts w:ascii="宋体" w:hAnsi="宋体"/>
          <w:b/>
        </w:rPr>
        <w:t>浏览器登陆</w:t>
      </w:r>
      <w:r>
        <w:rPr>
          <w:rFonts w:hint="eastAsia" w:ascii="宋体" w:hAnsi="宋体"/>
          <w:b/>
        </w:rPr>
        <w:t>，</w:t>
      </w:r>
      <w:r>
        <w:rPr>
          <w:rFonts w:ascii="宋体" w:hAnsi="宋体"/>
          <w:b/>
        </w:rPr>
        <w:t>如果</w:t>
      </w:r>
      <w:r>
        <w:rPr>
          <w:rFonts w:hint="eastAsia" w:ascii="宋体" w:hAnsi="宋体"/>
          <w:b/>
        </w:rPr>
        <w:t>访问</w:t>
      </w:r>
      <w:r>
        <w:rPr>
          <w:rFonts w:ascii="宋体" w:hAnsi="宋体"/>
          <w:b/>
        </w:rPr>
        <w:t>网址后出现空白等无法访问的情况，请更换相关浏览器。</w:t>
      </w:r>
      <w:r>
        <w:rPr>
          <w:rFonts w:hint="eastAsia" w:ascii="宋体" w:hAnsi="宋体"/>
          <w:b/>
        </w:rPr>
        <w:t>可运行的有Microsoft Edge（微软Edge浏览器）、Chrome（谷歌浏览器）、Firefox（火狐浏览器）等浏览器，IE（Internet Explorer）等浏览器无法访问信息系统。</w:t>
      </w:r>
    </w:p>
    <w:p>
      <w:pPr>
        <w:widowControl/>
        <w:spacing w:line="360" w:lineRule="auto"/>
        <w:jc w:val="center"/>
        <w:rPr>
          <w:rFonts w:ascii="宋体"/>
        </w:rPr>
      </w:pPr>
      <w:r>
        <w:drawing>
          <wp:inline distT="0" distB="0" distL="114300" distR="114300">
            <wp:extent cx="5281930" cy="2561590"/>
            <wp:effectExtent l="0" t="0" r="13970" b="1016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
                    <a:stretch>
                      <a:fillRect/>
                    </a:stretch>
                  </pic:blipFill>
                  <pic:spPr>
                    <a:xfrm>
                      <a:off x="0" y="0"/>
                      <a:ext cx="5281930" cy="2561590"/>
                    </a:xfrm>
                    <a:prstGeom prst="rect">
                      <a:avLst/>
                    </a:prstGeom>
                    <a:noFill/>
                    <a:ln>
                      <a:noFill/>
                    </a:ln>
                  </pic:spPr>
                </pic:pic>
              </a:graphicData>
            </a:graphic>
          </wp:inline>
        </w:drawing>
      </w:r>
      <w:r>
        <w:rPr>
          <w:rFonts w:hint="eastAsia" w:ascii="宋体" w:hAnsi="宋体"/>
        </w:rPr>
        <w:t>图</w:t>
      </w:r>
      <w:r>
        <w:rPr>
          <w:rFonts w:ascii="宋体" w:hAnsi="宋体"/>
        </w:rPr>
        <w:t xml:space="preserve">1 </w:t>
      </w:r>
      <w:r>
        <w:rPr>
          <w:rFonts w:hint="eastAsia" w:ascii="宋体" w:hAnsi="宋体"/>
        </w:rPr>
        <w:t>用户登录界面</w:t>
      </w:r>
    </w:p>
    <w:p>
      <w:pPr>
        <w:spacing w:line="360" w:lineRule="auto"/>
        <w:ind w:firstLine="420" w:firstLineChars="200"/>
        <w:rPr>
          <w:rFonts w:ascii="宋体" w:hAnsi="宋体"/>
        </w:rPr>
      </w:pPr>
      <w:r>
        <w:rPr>
          <w:rFonts w:hint="eastAsia"/>
          <w:bCs/>
          <w:color w:val="000000"/>
        </w:rPr>
        <w:t>系统分为管理员（包括农业农村部管理员、省级管理员、地市级管理员）、</w:t>
      </w:r>
      <w:r>
        <w:rPr>
          <w:rFonts w:hint="eastAsia" w:ascii="宋体" w:hAnsi="宋体"/>
        </w:rPr>
        <w:t>报表填报用户（包括区县级用户、部直属用户、省本级用户、地市本级用户）</w:t>
      </w:r>
      <w:r>
        <w:rPr>
          <w:rFonts w:hint="eastAsia"/>
          <w:bCs/>
          <w:color w:val="000000"/>
        </w:rPr>
        <w:t>及供苗单位等三类用户。</w:t>
      </w:r>
    </w:p>
    <w:p>
      <w:pPr>
        <w:spacing w:line="360" w:lineRule="auto"/>
        <w:ind w:firstLine="420" w:firstLineChars="200"/>
        <w:rPr>
          <w:rFonts w:ascii="宋体" w:hAnsi="宋体"/>
        </w:rPr>
      </w:pPr>
      <w:r>
        <w:rPr>
          <w:rFonts w:hint="eastAsia" w:ascii="宋体" w:hAnsi="宋体"/>
        </w:rPr>
        <w:t>（一）已绑定手机号的用户</w:t>
      </w:r>
    </w:p>
    <w:p>
      <w:pPr>
        <w:spacing w:line="360" w:lineRule="auto"/>
        <w:ind w:firstLine="420" w:firstLineChars="200"/>
        <w:rPr>
          <w:rFonts w:ascii="宋体" w:hAnsi="宋体"/>
        </w:rPr>
      </w:pPr>
      <w:r>
        <w:rPr>
          <w:rFonts w:hint="eastAsia" w:ascii="宋体" w:hAnsi="宋体"/>
        </w:rPr>
        <w:t>此前已使用过本系统，并绑定手机号的用户，仅支持使用绑定的手机号进行登陆。</w:t>
      </w:r>
    </w:p>
    <w:p>
      <w:pPr>
        <w:spacing w:line="360" w:lineRule="auto"/>
        <w:ind w:firstLine="420" w:firstLineChars="200"/>
        <w:rPr>
          <w:rFonts w:ascii="宋体" w:hAnsi="宋体"/>
        </w:rPr>
      </w:pPr>
      <w:r>
        <w:rPr>
          <w:rFonts w:hint="eastAsia" w:ascii="宋体" w:hAnsi="宋体"/>
        </w:rPr>
        <w:t>（二）未绑定手机号的用户</w:t>
      </w:r>
    </w:p>
    <w:p>
      <w:pPr>
        <w:spacing w:line="360" w:lineRule="auto"/>
        <w:ind w:firstLine="420" w:firstLineChars="200"/>
        <w:rPr>
          <w:rFonts w:ascii="宋体" w:hAnsi="宋体"/>
        </w:rPr>
      </w:pPr>
      <w:r>
        <w:rPr>
          <w:rFonts w:hint="eastAsia" w:ascii="宋体" w:hAnsi="宋体"/>
        </w:rPr>
        <w:t>2020年10月系统进行</w:t>
      </w:r>
      <w:r>
        <w:rPr>
          <w:rFonts w:ascii="宋体" w:hAnsi="宋体"/>
        </w:rPr>
        <w:t>了</w:t>
      </w:r>
      <w:r>
        <w:rPr>
          <w:rFonts w:hint="eastAsia" w:ascii="宋体" w:hAnsi="宋体"/>
        </w:rPr>
        <w:t>升级</w:t>
      </w:r>
      <w:r>
        <w:rPr>
          <w:rFonts w:ascii="宋体" w:hAnsi="宋体"/>
        </w:rPr>
        <w:t>，</w:t>
      </w:r>
      <w:r>
        <w:rPr>
          <w:rFonts w:hint="eastAsia" w:ascii="宋体" w:hAnsi="宋体"/>
        </w:rPr>
        <w:t>对于此前</w:t>
      </w:r>
      <w:r>
        <w:rPr>
          <w:rFonts w:ascii="宋体" w:hAnsi="宋体"/>
        </w:rPr>
        <w:t>使用过</w:t>
      </w:r>
      <w:r>
        <w:rPr>
          <w:rFonts w:hint="eastAsia" w:ascii="宋体" w:hAnsi="宋体"/>
        </w:rPr>
        <w:t>系统</w:t>
      </w:r>
      <w:r>
        <w:rPr>
          <w:rFonts w:ascii="宋体" w:hAnsi="宋体"/>
        </w:rPr>
        <w:t>的用户</w:t>
      </w:r>
      <w:r>
        <w:rPr>
          <w:rFonts w:hint="eastAsia" w:ascii="宋体" w:hAnsi="宋体"/>
        </w:rPr>
        <w:t>，</w:t>
      </w:r>
      <w:r>
        <w:rPr>
          <w:rFonts w:ascii="宋体" w:hAnsi="宋体"/>
        </w:rPr>
        <w:t>登陆用户名</w:t>
      </w:r>
      <w:r>
        <w:rPr>
          <w:rFonts w:hint="eastAsia" w:ascii="宋体" w:hAnsi="宋体"/>
        </w:rPr>
        <w:t>调整</w:t>
      </w:r>
      <w:r>
        <w:rPr>
          <w:rFonts w:ascii="宋体" w:hAnsi="宋体"/>
        </w:rPr>
        <w:t>为：</w:t>
      </w:r>
      <w:r>
        <w:rPr>
          <w:rFonts w:hint="eastAsia" w:ascii="宋体" w:hAnsi="宋体"/>
        </w:rPr>
        <w:t>zyyh+原用户名，初始登陆密码为123456，登陆后需按要求绑定手机号并完善用户信息。对于</w:t>
      </w:r>
      <w:r>
        <w:rPr>
          <w:rFonts w:ascii="宋体" w:hAnsi="宋体"/>
        </w:rPr>
        <w:t>初次使用本系统的，按照以下</w:t>
      </w:r>
      <w:r>
        <w:rPr>
          <w:rFonts w:hint="eastAsia" w:ascii="宋体" w:hAnsi="宋体"/>
        </w:rPr>
        <w:t>规则确定</w:t>
      </w:r>
      <w:r>
        <w:rPr>
          <w:rFonts w:ascii="宋体" w:hAnsi="宋体"/>
        </w:rPr>
        <w:t>登陆用户名。</w:t>
      </w:r>
    </w:p>
    <w:p>
      <w:pPr>
        <w:spacing w:line="360" w:lineRule="auto"/>
        <w:ind w:firstLine="420" w:firstLineChars="200"/>
        <w:rPr>
          <w:rFonts w:ascii="宋体" w:hAnsi="宋体"/>
          <w:b/>
        </w:rPr>
      </w:pPr>
      <w:r>
        <w:rPr>
          <w:rFonts w:hint="eastAsia" w:ascii="宋体" w:hAnsi="宋体"/>
        </w:rPr>
        <w:t>省级管理员的账号为zyyh</w:t>
      </w:r>
      <w:r>
        <w:rPr>
          <w:rFonts w:ascii="宋体" w:hAnsi="宋体"/>
        </w:rPr>
        <w:t>+</w:t>
      </w:r>
      <w:r>
        <w:rPr>
          <w:rFonts w:hint="eastAsia" w:ascii="宋体" w:hAnsi="宋体"/>
        </w:rPr>
        <w:t>本省的行政区划名称，例如：zyyh山东省。</w:t>
      </w:r>
      <w:r>
        <w:rPr>
          <w:rFonts w:hint="eastAsia" w:ascii="宋体" w:hAnsi="宋体"/>
          <w:bCs/>
          <w:color w:val="000000"/>
        </w:rPr>
        <w:t>地市级管理员的</w:t>
      </w:r>
      <w:r>
        <w:rPr>
          <w:rFonts w:hint="eastAsia" w:ascii="宋体" w:hAnsi="宋体"/>
        </w:rPr>
        <w:t>账号为zyyh</w:t>
      </w:r>
      <w:r>
        <w:rPr>
          <w:rFonts w:ascii="宋体" w:hAnsi="宋体"/>
        </w:rPr>
        <w:t>+</w:t>
      </w:r>
      <w:r>
        <w:rPr>
          <w:rFonts w:hint="eastAsia" w:ascii="宋体" w:hAnsi="宋体"/>
        </w:rPr>
        <w:t>本省行政区划名称</w:t>
      </w:r>
      <w:r>
        <w:rPr>
          <w:rFonts w:ascii="宋体" w:hAnsi="宋体"/>
        </w:rPr>
        <w:t>+</w:t>
      </w:r>
      <w:r>
        <w:rPr>
          <w:rFonts w:hint="eastAsia" w:ascii="宋体" w:hAnsi="宋体"/>
        </w:rPr>
        <w:t>本市行政区划名称，例如：zyyh山东省济南市、zyyh内蒙古自治区锡林郭勒盟、zyyh贵州省黔西南布依族苗族自治州。</w:t>
      </w:r>
      <w:r>
        <w:rPr>
          <w:rFonts w:hint="eastAsia" w:ascii="宋体" w:hAnsi="宋体"/>
          <w:b/>
        </w:rPr>
        <w:t>为方便数据汇总统计，计划单列市按省级的权限进行操作。</w:t>
      </w:r>
      <w:r>
        <w:rPr>
          <w:rFonts w:hint="eastAsia" w:ascii="宋体" w:hAnsi="宋体"/>
          <w:bCs/>
          <w:color w:val="000000"/>
        </w:rPr>
        <w:t>区县级用户的</w:t>
      </w:r>
      <w:r>
        <w:rPr>
          <w:rFonts w:hint="eastAsia" w:ascii="宋体" w:hAnsi="宋体"/>
        </w:rPr>
        <w:t>账号为zyyh</w:t>
      </w:r>
      <w:r>
        <w:rPr>
          <w:rFonts w:ascii="宋体" w:hAnsi="宋体"/>
        </w:rPr>
        <w:t>+</w:t>
      </w:r>
      <w:r>
        <w:rPr>
          <w:rFonts w:hint="eastAsia" w:ascii="宋体" w:hAnsi="宋体"/>
        </w:rPr>
        <w:t>本市行政区划名称</w:t>
      </w:r>
      <w:r>
        <w:rPr>
          <w:rFonts w:ascii="宋体" w:hAnsi="宋体"/>
        </w:rPr>
        <w:t>+</w:t>
      </w:r>
      <w:r>
        <w:rPr>
          <w:rFonts w:hint="eastAsia" w:ascii="宋体" w:hAnsi="宋体"/>
        </w:rPr>
        <w:t>本县行政区划名称，例如：zyyh济南市历下区、zyyh延边朝鲜族自治州珲春市、zyyh锡林郭勒盟苏尼特左旗。部直属用户的账号为zyyh</w:t>
      </w:r>
      <w:r>
        <w:rPr>
          <w:rFonts w:ascii="宋体" w:hAnsi="宋体"/>
        </w:rPr>
        <w:t>+</w:t>
      </w:r>
      <w:r>
        <w:rPr>
          <w:rFonts w:hint="eastAsia" w:ascii="宋体" w:hAnsi="宋体"/>
        </w:rPr>
        <w:t>单位全称，例如：</w:t>
      </w:r>
      <w:r>
        <w:rPr>
          <w:rFonts w:ascii="宋体" w:hAnsi="宋体"/>
        </w:rPr>
        <w:t>zyyh</w:t>
      </w:r>
      <w:r>
        <w:rPr>
          <w:rFonts w:hint="eastAsia" w:ascii="宋体" w:hAnsi="宋体"/>
        </w:rPr>
        <w:t>中国水产科学研究院。省本级用户的账号为zyyh</w:t>
      </w:r>
      <w:r>
        <w:rPr>
          <w:rFonts w:ascii="宋体" w:hAnsi="宋体"/>
        </w:rPr>
        <w:t>+</w:t>
      </w:r>
      <w:r>
        <w:rPr>
          <w:rFonts w:hint="eastAsia" w:ascii="宋体" w:hAnsi="宋体"/>
        </w:rPr>
        <w:t>本省行政区划名称</w:t>
      </w:r>
      <w:r>
        <w:rPr>
          <w:rFonts w:ascii="宋体" w:hAnsi="宋体"/>
        </w:rPr>
        <w:t>+</w:t>
      </w:r>
      <w:r>
        <w:rPr>
          <w:rFonts w:hint="eastAsia" w:ascii="宋体" w:hAnsi="宋体"/>
        </w:rPr>
        <w:t>省（区、市）本级，例如：zyyh山东省省本级。地市本级用户的账号为zyyh</w:t>
      </w:r>
      <w:r>
        <w:rPr>
          <w:rFonts w:ascii="宋体" w:hAnsi="宋体"/>
        </w:rPr>
        <w:t>+</w:t>
      </w:r>
      <w:r>
        <w:rPr>
          <w:rFonts w:hint="eastAsia" w:ascii="宋体" w:hAnsi="宋体"/>
        </w:rPr>
        <w:t>本市行政区划名称</w:t>
      </w:r>
      <w:r>
        <w:rPr>
          <w:rFonts w:ascii="宋体" w:hAnsi="宋体"/>
        </w:rPr>
        <w:t>+</w:t>
      </w:r>
      <w:r>
        <w:rPr>
          <w:rFonts w:hint="eastAsia" w:ascii="宋体" w:hAnsi="宋体"/>
        </w:rPr>
        <w:t>市（区、盟）本级，例如：zyyh济南市市本级。省直属单位用户和地市直属单位用户的账号和密码分别由省级管理员和地市级管理员设置。</w:t>
      </w:r>
      <w:r>
        <w:rPr>
          <w:rFonts w:hint="eastAsia" w:ascii="宋体" w:hAnsi="宋体"/>
          <w:b/>
        </w:rPr>
        <w:t>各级管理员和报表填报用户的初始密码均为：</w:t>
      </w:r>
      <w:r>
        <w:rPr>
          <w:rFonts w:ascii="宋体" w:hAnsi="宋体"/>
          <w:b/>
        </w:rPr>
        <w:t>123456</w:t>
      </w:r>
      <w:r>
        <w:rPr>
          <w:rFonts w:hint="eastAsia" w:ascii="宋体" w:hAnsi="宋体"/>
          <w:b/>
        </w:rPr>
        <w:t>。</w:t>
      </w:r>
    </w:p>
    <w:p>
      <w:pPr>
        <w:spacing w:line="360" w:lineRule="auto"/>
        <w:ind w:firstLine="422" w:firstLineChars="200"/>
        <w:rPr>
          <w:rFonts w:ascii="宋体" w:hAnsi="宋体"/>
          <w:b/>
        </w:rPr>
      </w:pPr>
    </w:p>
    <w:p>
      <w:pPr>
        <w:spacing w:line="360" w:lineRule="auto"/>
        <w:ind w:firstLine="420" w:firstLineChars="200"/>
        <w:rPr>
          <w:rFonts w:ascii="宋体"/>
          <w:b/>
        </w:rPr>
      </w:pPr>
      <w:r>
        <w:rPr>
          <w:rFonts w:hint="eastAsia" w:ascii="黑体" w:hAnsi="宋体" w:eastAsia="黑体"/>
          <w:color w:val="000000"/>
          <w:szCs w:val="21"/>
        </w:rPr>
        <w:t>二、</w:t>
      </w:r>
      <w:r>
        <w:rPr>
          <w:rFonts w:hint="eastAsia" w:ascii="宋体" w:hAnsi="宋体"/>
          <w:b/>
        </w:rPr>
        <w:t>省级管理员操作说明</w:t>
      </w:r>
    </w:p>
    <w:p>
      <w:pPr>
        <w:spacing w:line="360" w:lineRule="auto"/>
        <w:ind w:firstLine="422" w:firstLineChars="200"/>
        <w:rPr>
          <w:rFonts w:ascii="楷体_GB2312" w:hAnsi="宋体" w:eastAsia="楷体_GB2312"/>
          <w:color w:val="000000"/>
          <w:szCs w:val="21"/>
        </w:rPr>
      </w:pPr>
      <w:r>
        <w:rPr>
          <w:rFonts w:hint="eastAsia" w:ascii="楷体_GB2312" w:hAnsi="宋体" w:eastAsia="楷体_GB2312"/>
          <w:b/>
        </w:rPr>
        <w:t>（一）系统设置</w:t>
      </w:r>
    </w:p>
    <w:p>
      <w:pPr>
        <w:spacing w:line="360" w:lineRule="auto"/>
        <w:ind w:firstLine="420" w:firstLineChars="200"/>
        <w:rPr>
          <w:bCs/>
          <w:color w:val="000000"/>
        </w:rPr>
      </w:pPr>
      <w:r>
        <w:rPr>
          <w:rFonts w:hint="eastAsia" w:ascii="宋体" w:hAnsi="宋体"/>
        </w:rPr>
        <w:t>省级管理员为地市级管理员和省本级用户分配用户账号、填报报表、放流物种以及放流地点。省级管理员还可以根据需要创建</w:t>
      </w:r>
      <w:r>
        <w:rPr>
          <w:rFonts w:hint="eastAsia"/>
        </w:rPr>
        <w:t>省直属单位用户。</w:t>
      </w:r>
    </w:p>
    <w:p>
      <w:pPr>
        <w:spacing w:line="360" w:lineRule="auto"/>
        <w:ind w:firstLine="422" w:firstLineChars="200"/>
        <w:rPr>
          <w:rFonts w:ascii="宋体"/>
        </w:rPr>
      </w:pPr>
      <w:r>
        <w:rPr>
          <w:rFonts w:ascii="宋体" w:hAnsi="宋体"/>
          <w:b/>
          <w:color w:val="000000"/>
          <w:szCs w:val="21"/>
        </w:rPr>
        <w:t>1.</w:t>
      </w:r>
      <w:r>
        <w:rPr>
          <w:rFonts w:hint="eastAsia" w:ascii="宋体" w:hAnsi="宋体"/>
          <w:b/>
        </w:rPr>
        <w:t>分配填报报表。</w:t>
      </w:r>
      <w:r>
        <w:rPr>
          <w:rFonts w:hint="eastAsia" w:ascii="宋体" w:hAnsi="宋体"/>
        </w:rPr>
        <w:t>省级管理员登录信息系统后，点击系统设置后打开【报表分配管理︱添加】中的添加选项，选择分配的区域后，在可选报表框中选择报表（同时按下“</w:t>
      </w:r>
      <w:r>
        <w:rPr>
          <w:rFonts w:ascii="宋体" w:hAnsi="宋体"/>
        </w:rPr>
        <w:t>shift</w:t>
      </w:r>
      <w:r>
        <w:rPr>
          <w:rFonts w:hint="eastAsia" w:ascii="宋体" w:hAnsi="宋体"/>
        </w:rPr>
        <w:t>”键可以一次多选），点击向下的三角按钮，将选好的报表放入已选报表框，点击确定即可完成该区域的报表分配（见图</w:t>
      </w:r>
      <w:r>
        <w:rPr>
          <w:rFonts w:ascii="宋体" w:hAnsi="宋体"/>
        </w:rPr>
        <w:t>2</w:t>
      </w:r>
      <w:r>
        <w:rPr>
          <w:rFonts w:hint="eastAsia" w:ascii="宋体" w:hAnsi="宋体"/>
        </w:rPr>
        <w:t>）。省级管理员还可以通过报表分配管理选项查看、修改、删除所选区域的分配报表。</w:t>
      </w:r>
    </w:p>
    <w:p>
      <w:pPr>
        <w:spacing w:line="360" w:lineRule="auto"/>
        <w:ind w:firstLine="420" w:firstLineChars="200"/>
      </w:pPr>
      <w:r>
        <w:rPr>
          <w:rFonts w:hint="eastAsia"/>
        </w:rPr>
        <w:drawing>
          <wp:inline distT="0" distB="0" distL="114300" distR="114300">
            <wp:extent cx="2217420" cy="2140585"/>
            <wp:effectExtent l="0" t="0" r="11430" b="1206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2217420" cy="2140585"/>
                    </a:xfrm>
                    <a:prstGeom prst="rect">
                      <a:avLst/>
                    </a:prstGeom>
                    <a:noFill/>
                    <a:ln>
                      <a:noFill/>
                    </a:ln>
                  </pic:spPr>
                </pic:pic>
              </a:graphicData>
            </a:graphic>
          </wp:inline>
        </w:drawing>
      </w:r>
      <w:r>
        <w:rPr>
          <w:rFonts w:hint="eastAsia"/>
        </w:rPr>
        <w:drawing>
          <wp:inline distT="0" distB="0" distL="114300" distR="114300">
            <wp:extent cx="2226310" cy="2177415"/>
            <wp:effectExtent l="0" t="0" r="2540" b="133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
                    <a:stretch>
                      <a:fillRect/>
                    </a:stretch>
                  </pic:blipFill>
                  <pic:spPr>
                    <a:xfrm>
                      <a:off x="0" y="0"/>
                      <a:ext cx="2226310" cy="2177415"/>
                    </a:xfrm>
                    <a:prstGeom prst="rect">
                      <a:avLst/>
                    </a:prstGeom>
                    <a:noFill/>
                    <a:ln>
                      <a:noFill/>
                    </a:ln>
                  </pic:spPr>
                </pic:pic>
              </a:graphicData>
            </a:graphic>
          </wp:inline>
        </w:drawing>
      </w:r>
    </w:p>
    <w:p>
      <w:pPr>
        <w:widowControl/>
        <w:spacing w:line="360" w:lineRule="auto"/>
        <w:jc w:val="center"/>
        <w:rPr>
          <w:rFonts w:ascii="宋体"/>
        </w:rPr>
      </w:pPr>
      <w:r>
        <w:rPr>
          <w:rFonts w:hint="eastAsia" w:ascii="宋体" w:hAnsi="宋体"/>
        </w:rPr>
        <w:t>图</w:t>
      </w:r>
      <w:r>
        <w:rPr>
          <w:rFonts w:ascii="宋体" w:hAnsi="宋体"/>
        </w:rPr>
        <w:t xml:space="preserve">2 </w:t>
      </w:r>
      <w:r>
        <w:rPr>
          <w:rFonts w:hint="eastAsia" w:ascii="宋体" w:hAnsi="宋体"/>
        </w:rPr>
        <w:t>报表分配界面</w:t>
      </w:r>
    </w:p>
    <w:p>
      <w:pPr>
        <w:spacing w:line="360" w:lineRule="auto"/>
        <w:ind w:firstLine="422" w:firstLineChars="200"/>
        <w:rPr>
          <w:rFonts w:ascii="宋体"/>
        </w:rPr>
      </w:pPr>
      <w:r>
        <w:rPr>
          <w:rFonts w:ascii="宋体" w:hAnsi="宋体"/>
          <w:b/>
          <w:color w:val="000000"/>
          <w:szCs w:val="21"/>
        </w:rPr>
        <w:t>2</w:t>
      </w:r>
      <w:r>
        <w:rPr>
          <w:rFonts w:ascii="宋体"/>
          <w:b/>
          <w:color w:val="000000"/>
          <w:szCs w:val="21"/>
        </w:rPr>
        <w:t>.</w:t>
      </w:r>
      <w:r>
        <w:rPr>
          <w:rFonts w:hint="eastAsia" w:ascii="宋体" w:hAnsi="宋体"/>
          <w:b/>
        </w:rPr>
        <w:t>分配放流物种。</w:t>
      </w:r>
      <w:r>
        <w:rPr>
          <w:rFonts w:hint="eastAsia" w:ascii="宋体" w:hAnsi="宋体"/>
        </w:rPr>
        <w:t>省级管理员登录信息系统后，点击系统设置后打开【品种分配管理︱添加】中的添加选项，选择分配的区域后，在可选报表框中选择报表（同时按下“</w:t>
      </w:r>
      <w:r>
        <w:rPr>
          <w:rFonts w:ascii="宋体" w:hAnsi="宋体"/>
        </w:rPr>
        <w:t>shift</w:t>
      </w:r>
      <w:r>
        <w:rPr>
          <w:rFonts w:hint="eastAsia" w:ascii="宋体" w:hAnsi="宋体"/>
        </w:rPr>
        <w:t>”键可以一次多选），点击向下的三角按钮，将选好的品种放入已选报表框，点击确定即可完成该区域的品种分配。省级管理员还可以通过品种分配管理选项查看、修改、删除所选区域的分配品种。</w:t>
      </w:r>
    </w:p>
    <w:p>
      <w:pPr>
        <w:spacing w:line="360" w:lineRule="auto"/>
        <w:ind w:firstLine="422" w:firstLineChars="200"/>
        <w:rPr>
          <w:rFonts w:ascii="宋体"/>
        </w:rPr>
      </w:pPr>
      <w:r>
        <w:rPr>
          <w:rFonts w:ascii="宋体" w:hAnsi="宋体"/>
          <w:b/>
          <w:color w:val="000000"/>
          <w:szCs w:val="21"/>
        </w:rPr>
        <w:t>3</w:t>
      </w:r>
      <w:r>
        <w:rPr>
          <w:rFonts w:ascii="宋体"/>
          <w:b/>
          <w:color w:val="000000"/>
          <w:szCs w:val="21"/>
        </w:rPr>
        <w:t>.</w:t>
      </w:r>
      <w:r>
        <w:rPr>
          <w:rFonts w:hint="eastAsia" w:ascii="宋体" w:hAnsi="宋体"/>
          <w:b/>
        </w:rPr>
        <w:t>分配放流地点。</w:t>
      </w:r>
      <w:r>
        <w:rPr>
          <w:rFonts w:hint="eastAsia" w:ascii="宋体" w:hAnsi="宋体"/>
        </w:rPr>
        <w:t>省级管理员登录信息系统后，点击系统设置后打开【放流地点分配管理︱添加】中的添加选项，选择分配的区域后，在可选报表框中选择报表（同时按下“</w:t>
      </w:r>
      <w:r>
        <w:rPr>
          <w:rFonts w:ascii="宋体" w:hAnsi="宋体"/>
        </w:rPr>
        <w:t>shift</w:t>
      </w:r>
      <w:r>
        <w:rPr>
          <w:rFonts w:hint="eastAsia" w:ascii="宋体" w:hAnsi="宋体"/>
        </w:rPr>
        <w:t>”键可以一次多选），点击向下的三角按钮，将选好的品种放入已选报表框，点击确定即可完成该区域的放流地点分配。省级管理员还可以通过放流地点分配管理选项查看、修改、删除所选区域的分配放流地点。</w:t>
      </w:r>
    </w:p>
    <w:p>
      <w:pPr>
        <w:spacing w:line="360" w:lineRule="auto"/>
        <w:ind w:firstLine="422" w:firstLineChars="200"/>
        <w:rPr>
          <w:rFonts w:ascii="楷体_GB2312" w:hAnsi="宋体" w:eastAsia="楷体_GB2312"/>
          <w:color w:val="000000"/>
          <w:szCs w:val="21"/>
        </w:rPr>
      </w:pPr>
      <w:r>
        <w:rPr>
          <w:rFonts w:hint="eastAsia" w:ascii="楷体_GB2312" w:hAnsi="宋体" w:eastAsia="楷体_GB2312"/>
          <w:b/>
        </w:rPr>
        <w:t>（二）用户信息</w:t>
      </w:r>
    </w:p>
    <w:p>
      <w:pPr>
        <w:spacing w:line="360" w:lineRule="auto"/>
        <w:ind w:firstLine="422" w:firstLineChars="200"/>
        <w:rPr>
          <w:rFonts w:ascii="宋体"/>
        </w:rPr>
      </w:pPr>
      <w:r>
        <w:rPr>
          <w:rFonts w:ascii="宋体" w:hAnsi="宋体"/>
          <w:b/>
          <w:color w:val="000000"/>
          <w:szCs w:val="21"/>
        </w:rPr>
        <w:t>1.</w:t>
      </w:r>
      <w:r>
        <w:rPr>
          <w:rFonts w:hint="eastAsia" w:ascii="宋体" w:hAnsi="宋体"/>
          <w:b/>
          <w:color w:val="000000"/>
          <w:szCs w:val="21"/>
        </w:rPr>
        <w:t>信息员列表。</w:t>
      </w:r>
      <w:r>
        <w:rPr>
          <w:rFonts w:hint="eastAsia" w:ascii="宋体" w:hAnsi="宋体"/>
        </w:rPr>
        <w:t>通过该选项可以直接查看本省信息员的基本信息：单位名称，信息员、联系方式等。</w:t>
      </w:r>
    </w:p>
    <w:p>
      <w:pPr>
        <w:pStyle w:val="9"/>
        <w:spacing w:line="360" w:lineRule="auto"/>
        <w:ind w:firstLineChars="0"/>
      </w:pPr>
      <w:r>
        <w:rPr>
          <w:b/>
          <w:color w:val="000000"/>
          <w:szCs w:val="21"/>
        </w:rPr>
        <w:t>2.</w:t>
      </w:r>
      <w:r>
        <w:rPr>
          <w:rFonts w:hint="eastAsia"/>
          <w:b/>
          <w:color w:val="000000"/>
          <w:szCs w:val="21"/>
        </w:rPr>
        <w:t>用户信息报送。</w:t>
      </w:r>
      <w:r>
        <w:rPr>
          <w:rFonts w:hint="eastAsia"/>
        </w:rPr>
        <w:t>省级管理员通过该选项填写信息员基本信息。请省级管理员认真填写该项全部信息，以便相关工作开展。</w:t>
      </w:r>
    </w:p>
    <w:p>
      <w:pPr>
        <w:spacing w:line="360" w:lineRule="auto"/>
        <w:ind w:firstLine="422" w:firstLineChars="200"/>
        <w:rPr>
          <w:rFonts w:ascii="楷体_GB2312" w:hAnsi="宋体" w:eastAsia="楷体_GB2312"/>
          <w:b/>
        </w:rPr>
      </w:pPr>
      <w:r>
        <w:rPr>
          <w:rFonts w:hint="eastAsia" w:ascii="楷体_GB2312" w:hAnsi="宋体" w:eastAsia="楷体_GB2312"/>
          <w:b/>
        </w:rPr>
        <w:t>（三）</w:t>
      </w:r>
      <w:r>
        <w:fldChar w:fldCharType="begin"/>
      </w:r>
      <w:r>
        <w:instrText xml:space="preserve"> HYPERLINK "http://localhost:4572/DataCenter/Sheet_State.aspx" </w:instrText>
      </w:r>
      <w:r>
        <w:fldChar w:fldCharType="separate"/>
      </w:r>
      <w:r>
        <w:rPr>
          <w:rFonts w:hint="eastAsia" w:ascii="楷体_GB2312" w:hAnsi="宋体" w:eastAsia="楷体_GB2312"/>
          <w:b/>
        </w:rPr>
        <w:t>资源养护信息采集</w:t>
      </w:r>
      <w:r>
        <w:rPr>
          <w:rFonts w:hint="eastAsia" w:ascii="楷体_GB2312" w:hAnsi="宋体" w:eastAsia="楷体_GB2312"/>
          <w:b/>
        </w:rPr>
        <w:fldChar w:fldCharType="end"/>
      </w:r>
    </w:p>
    <w:p>
      <w:pPr>
        <w:spacing w:line="360" w:lineRule="auto"/>
        <w:ind w:firstLine="422" w:firstLineChars="200"/>
      </w:pPr>
      <w:r>
        <w:rPr>
          <w:rFonts w:ascii="宋体" w:hAnsi="宋体"/>
          <w:b/>
          <w:color w:val="000000"/>
          <w:szCs w:val="21"/>
        </w:rPr>
        <w:t>1.</w:t>
      </w:r>
      <w:r>
        <w:rPr>
          <w:rFonts w:hint="eastAsia" w:ascii="宋体" w:hAnsi="宋体"/>
          <w:b/>
          <w:color w:val="000000"/>
          <w:szCs w:val="21"/>
        </w:rPr>
        <w:t>报表查看审核。</w:t>
      </w:r>
      <w:r>
        <w:rPr>
          <w:rFonts w:hint="eastAsia"/>
        </w:rPr>
        <w:t>选择报送年份、报表点击查看，可以查看每一级的报送情况，见图</w:t>
      </w:r>
      <w:r>
        <w:t>3</w:t>
      </w:r>
      <w:r>
        <w:rPr>
          <w:rFonts w:hint="eastAsia"/>
        </w:rPr>
        <w:t>。</w:t>
      </w:r>
    </w:p>
    <w:p>
      <w:pPr>
        <w:pStyle w:val="9"/>
        <w:spacing w:line="360" w:lineRule="auto"/>
        <w:ind w:firstLine="0" w:firstLineChars="0"/>
      </w:pPr>
      <w:r>
        <w:rPr>
          <w:rFonts w:hint="eastAsia"/>
        </w:rPr>
        <w:drawing>
          <wp:inline distT="0" distB="0" distL="114300" distR="114300">
            <wp:extent cx="5293360" cy="1791970"/>
            <wp:effectExtent l="0" t="0" r="2540" b="17780"/>
            <wp:docPr id="21" name="图片 4" descr="QQ截图2016092116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QQ截图20160921165907"/>
                    <pic:cNvPicPr>
                      <a:picLocks noChangeAspect="1"/>
                    </pic:cNvPicPr>
                  </pic:nvPicPr>
                  <pic:blipFill>
                    <a:blip r:embed="rId8"/>
                    <a:stretch>
                      <a:fillRect/>
                    </a:stretch>
                  </pic:blipFill>
                  <pic:spPr>
                    <a:xfrm>
                      <a:off x="0" y="0"/>
                      <a:ext cx="5293360" cy="1791970"/>
                    </a:xfrm>
                    <a:prstGeom prst="rect">
                      <a:avLst/>
                    </a:prstGeom>
                    <a:noFill/>
                    <a:ln>
                      <a:noFill/>
                    </a:ln>
                  </pic:spPr>
                </pic:pic>
              </a:graphicData>
            </a:graphic>
          </wp:inline>
        </w:drawing>
      </w:r>
    </w:p>
    <w:p>
      <w:pPr>
        <w:widowControl/>
        <w:spacing w:line="360" w:lineRule="auto"/>
        <w:jc w:val="center"/>
        <w:rPr>
          <w:rFonts w:ascii="宋体"/>
        </w:rPr>
      </w:pPr>
      <w:r>
        <w:rPr>
          <w:rFonts w:hint="eastAsia" w:ascii="宋体" w:hAnsi="宋体"/>
        </w:rPr>
        <w:t>图</w:t>
      </w:r>
      <w:r>
        <w:rPr>
          <w:rFonts w:ascii="宋体" w:hAnsi="宋体"/>
        </w:rPr>
        <w:t xml:space="preserve">3 </w:t>
      </w:r>
      <w:r>
        <w:rPr>
          <w:rFonts w:hint="eastAsia" w:ascii="宋体" w:hAnsi="宋体"/>
        </w:rPr>
        <w:t>报表查看审核初始界面</w:t>
      </w:r>
    </w:p>
    <w:p>
      <w:pPr>
        <w:pStyle w:val="9"/>
        <w:spacing w:line="360" w:lineRule="auto"/>
      </w:pPr>
      <w:r>
        <w:rPr>
          <w:rFonts w:hint="eastAsia"/>
        </w:rPr>
        <w:t>当进入到报送级时，可看到报送进展，见图</w:t>
      </w:r>
      <w:r>
        <w:rPr>
          <w:rFonts w:ascii="宋体" w:hAnsi="宋体"/>
        </w:rPr>
        <w:t>4</w:t>
      </w:r>
      <w:r>
        <w:rPr>
          <w:rFonts w:hint="eastAsia"/>
        </w:rPr>
        <w:t>。</w:t>
      </w:r>
    </w:p>
    <w:p>
      <w:pPr>
        <w:spacing w:line="360" w:lineRule="auto"/>
        <w:rPr>
          <w:rFonts w:ascii="黑体" w:hAnsi="宋体" w:eastAsia="黑体"/>
          <w:color w:val="000000"/>
          <w:szCs w:val="21"/>
          <w:lang w:val="nb-NO"/>
        </w:rPr>
      </w:pPr>
      <w:r>
        <w:rPr>
          <w:rFonts w:hint="eastAsia" w:ascii="黑体" w:hAnsi="宋体" w:eastAsia="黑体"/>
          <w:color w:val="000000"/>
          <w:szCs w:val="21"/>
        </w:rPr>
        <w:drawing>
          <wp:inline distT="0" distB="0" distL="114300" distR="114300">
            <wp:extent cx="5380355" cy="771525"/>
            <wp:effectExtent l="0" t="0" r="10795" b="9525"/>
            <wp:docPr id="27" name="图片 5" descr="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截图03"/>
                    <pic:cNvPicPr>
                      <a:picLocks noChangeAspect="1"/>
                    </pic:cNvPicPr>
                  </pic:nvPicPr>
                  <pic:blipFill>
                    <a:blip r:embed="rId9"/>
                    <a:stretch>
                      <a:fillRect/>
                    </a:stretch>
                  </pic:blipFill>
                  <pic:spPr>
                    <a:xfrm>
                      <a:off x="0" y="0"/>
                      <a:ext cx="5380355" cy="771525"/>
                    </a:xfrm>
                    <a:prstGeom prst="rect">
                      <a:avLst/>
                    </a:prstGeom>
                    <a:noFill/>
                    <a:ln>
                      <a:noFill/>
                    </a:ln>
                  </pic:spPr>
                </pic:pic>
              </a:graphicData>
            </a:graphic>
          </wp:inline>
        </w:drawing>
      </w:r>
    </w:p>
    <w:p>
      <w:pPr>
        <w:widowControl/>
        <w:spacing w:line="360" w:lineRule="auto"/>
        <w:jc w:val="center"/>
        <w:rPr>
          <w:rFonts w:ascii="宋体"/>
        </w:rPr>
      </w:pPr>
      <w:r>
        <w:rPr>
          <w:rFonts w:hint="eastAsia" w:ascii="宋体" w:hAnsi="宋体"/>
        </w:rPr>
        <w:t>图</w:t>
      </w:r>
      <w:r>
        <w:rPr>
          <w:rFonts w:ascii="宋体" w:hAnsi="宋体"/>
        </w:rPr>
        <w:t xml:space="preserve">4 </w:t>
      </w:r>
      <w:r>
        <w:rPr>
          <w:rFonts w:hint="eastAsia" w:ascii="宋体" w:hAnsi="宋体"/>
        </w:rPr>
        <w:t>报表查看报送进展界面</w:t>
      </w:r>
    </w:p>
    <w:p>
      <w:pPr>
        <w:spacing w:line="360" w:lineRule="auto"/>
        <w:ind w:firstLine="420" w:firstLineChars="200"/>
      </w:pPr>
      <w:r>
        <w:rPr>
          <w:rFonts w:hint="eastAsia"/>
        </w:rPr>
        <w:t>点击“查看数据”按钮，可直接看到报送的数据，进行相应的操作，通过审核或驳回（见图</w:t>
      </w:r>
      <w:r>
        <w:t>5</w:t>
      </w:r>
      <w:r>
        <w:rPr>
          <w:rFonts w:hint="eastAsia"/>
        </w:rPr>
        <w:t>）。注意驳回需要填写驳回理由，否则不能驳回。</w:t>
      </w:r>
    </w:p>
    <w:p>
      <w:r>
        <w:rPr>
          <w:rFonts w:hint="eastAsia"/>
        </w:rPr>
        <w:drawing>
          <wp:inline distT="0" distB="0" distL="114300" distR="114300">
            <wp:extent cx="5366385" cy="1443990"/>
            <wp:effectExtent l="0" t="0" r="5715" b="3810"/>
            <wp:docPr id="28" name="图片 6"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截图01"/>
                    <pic:cNvPicPr>
                      <a:picLocks noChangeAspect="1"/>
                    </pic:cNvPicPr>
                  </pic:nvPicPr>
                  <pic:blipFill>
                    <a:blip r:embed="rId10"/>
                    <a:stretch>
                      <a:fillRect/>
                    </a:stretch>
                  </pic:blipFill>
                  <pic:spPr>
                    <a:xfrm>
                      <a:off x="0" y="0"/>
                      <a:ext cx="5366385" cy="1443990"/>
                    </a:xfrm>
                    <a:prstGeom prst="rect">
                      <a:avLst/>
                    </a:prstGeom>
                    <a:noFill/>
                    <a:ln>
                      <a:noFill/>
                    </a:ln>
                  </pic:spPr>
                </pic:pic>
              </a:graphicData>
            </a:graphic>
          </wp:inline>
        </w:drawing>
      </w:r>
    </w:p>
    <w:p/>
    <w:p>
      <w:pPr>
        <w:widowControl/>
        <w:spacing w:line="360" w:lineRule="auto"/>
        <w:jc w:val="center"/>
        <w:rPr>
          <w:rFonts w:ascii="宋体"/>
        </w:rPr>
      </w:pPr>
      <w:r>
        <w:rPr>
          <w:rFonts w:hint="eastAsia" w:ascii="宋体" w:hAnsi="宋体"/>
        </w:rPr>
        <w:t>图</w:t>
      </w:r>
      <w:r>
        <w:rPr>
          <w:rFonts w:ascii="宋体" w:hAnsi="宋体"/>
        </w:rPr>
        <w:t xml:space="preserve">5 </w:t>
      </w:r>
      <w:r>
        <w:rPr>
          <w:rFonts w:hint="eastAsia" w:ascii="宋体" w:hAnsi="宋体"/>
        </w:rPr>
        <w:t>报表查看报送数据界面</w:t>
      </w:r>
    </w:p>
    <w:p>
      <w:pPr>
        <w:spacing w:line="360" w:lineRule="auto"/>
        <w:ind w:firstLine="420" w:firstLineChars="200"/>
      </w:pPr>
      <w:r>
        <w:rPr>
          <w:rFonts w:hint="eastAsia"/>
        </w:rPr>
        <w:t>资源养护基础报表报送基本流程为：报表填报用户上报→各级管理员逐级审核→农业农村部管理员审核通过（完成报送），见图</w:t>
      </w:r>
      <w:r>
        <w:t>6</w:t>
      </w:r>
      <w:r>
        <w:rPr>
          <w:rFonts w:hint="eastAsia"/>
        </w:rPr>
        <w:t>。如果上级管理员发现存在问题，可进行驳回，该功能非逐级驳回，而是直接拨回到报表填报用户，具体流程为：报表填报用户上报→上级管理员驳回→报表填报用户修改后再上报→各级管理员逐级审核→农业农村部管理员审核通过（完成报送）。如果报表填报用户已上报数据，但又发现数据存在问题需要修改，在该数据尚未经农业农村部审核通过的情况下可申请修改，具体流程为：报表填报用户申请修改→上级管理员驳回→报表填报用户修改后再上报→各级管理员逐级审核→农业农村部管理员审核通过（完成报送）。</w:t>
      </w:r>
    </w:p>
    <w:p>
      <w:pPr>
        <w:widowControl/>
        <w:spacing w:line="360" w:lineRule="auto"/>
        <w:jc w:val="center"/>
        <w:rPr>
          <w:rFonts w:ascii="宋体"/>
        </w:rPr>
      </w:pPr>
      <w:r>
        <w:rPr>
          <w:rFonts w:ascii="宋体"/>
        </w:rPr>
        <mc:AlternateContent>
          <mc:Choice Requires="wpc">
            <w:drawing>
              <wp:inline distT="0" distB="0" distL="114300" distR="114300">
                <wp:extent cx="5257800" cy="1981200"/>
                <wp:effectExtent l="6350" t="37465" r="0" b="0"/>
                <wp:docPr id="18"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 name="矩形 1"/>
                        <wps:cNvSpPr/>
                        <wps:spPr>
                          <a:xfrm>
                            <a:off x="0" y="198"/>
                            <a:ext cx="914100" cy="69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区县级渔业主管部门自行填写后上报</w:t>
                              </w:r>
                            </w:p>
                            <w:p>
                              <w:pPr>
                                <w:rPr>
                                  <w:szCs w:val="18"/>
                                </w:rPr>
                              </w:pPr>
                            </w:p>
                          </w:txbxContent>
                        </wps:txbx>
                        <wps:bodyPr upright="1"/>
                      </wps:wsp>
                      <wps:wsp>
                        <wps:cNvPr id="2" name="直接连接符 2"/>
                        <wps:cNvCnPr/>
                        <wps:spPr>
                          <a:xfrm>
                            <a:off x="914100" y="495"/>
                            <a:ext cx="343900" cy="1"/>
                          </a:xfrm>
                          <a:prstGeom prst="line">
                            <a:avLst/>
                          </a:prstGeom>
                          <a:ln w="9525" cap="flat" cmpd="sng">
                            <a:solidFill>
                              <a:srgbClr val="000000"/>
                            </a:solidFill>
                            <a:prstDash val="solid"/>
                            <a:headEnd type="none" w="med" len="med"/>
                            <a:tailEnd type="triangle" w="med" len="med"/>
                          </a:ln>
                          <a:effectLst/>
                        </wps:spPr>
                        <wps:bodyPr upright="1"/>
                      </wps:wsp>
                      <wps:wsp>
                        <wps:cNvPr id="3" name="矩形 3"/>
                        <wps:cNvSpPr/>
                        <wps:spPr>
                          <a:xfrm>
                            <a:off x="1257300" y="198"/>
                            <a:ext cx="913400" cy="693"/>
                          </a:xfrm>
                          <a:prstGeom prst="rect">
                            <a:avLst/>
                          </a:prstGeom>
                          <a:solidFill>
                            <a:srgbClr val="C0C0C0"/>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市级渔业主管部门审核无误后上报</w:t>
                              </w:r>
                            </w:p>
                          </w:txbxContent>
                        </wps:txbx>
                        <wps:bodyPr upright="1"/>
                      </wps:wsp>
                      <wps:wsp>
                        <wps:cNvPr id="4" name="矩形 4"/>
                        <wps:cNvSpPr/>
                        <wps:spPr>
                          <a:xfrm>
                            <a:off x="2514600" y="198"/>
                            <a:ext cx="911900" cy="693"/>
                          </a:xfrm>
                          <a:prstGeom prst="rect">
                            <a:avLst/>
                          </a:prstGeom>
                          <a:solidFill>
                            <a:srgbClr val="C0C0C0"/>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省级渔业主管部门审核无误后上报</w:t>
                              </w:r>
                            </w:p>
                            <w:p/>
                          </w:txbxContent>
                        </wps:txbx>
                        <wps:bodyPr upright="1"/>
                      </wps:wsp>
                      <wps:wsp>
                        <wps:cNvPr id="5" name="矩形 5"/>
                        <wps:cNvSpPr/>
                        <wps:spPr>
                          <a:xfrm>
                            <a:off x="3771900" y="198"/>
                            <a:ext cx="914100" cy="693"/>
                          </a:xfrm>
                          <a:prstGeom prst="rect">
                            <a:avLst/>
                          </a:prstGeom>
                          <a:solidFill>
                            <a:srgbClr val="C0C0C0"/>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农业农村部渔业渔政管理局进行审核</w:t>
                              </w:r>
                            </w:p>
                            <w:p/>
                          </w:txbxContent>
                        </wps:txbx>
                        <wps:bodyPr upright="1"/>
                      </wps:wsp>
                      <wps:wsp>
                        <wps:cNvPr id="6" name="直接连接符 6"/>
                        <wps:cNvCnPr/>
                        <wps:spPr>
                          <a:xfrm>
                            <a:off x="2171400" y="495"/>
                            <a:ext cx="343900" cy="1"/>
                          </a:xfrm>
                          <a:prstGeom prst="line">
                            <a:avLst/>
                          </a:prstGeom>
                          <a:ln w="9525" cap="flat" cmpd="sng">
                            <a:solidFill>
                              <a:srgbClr val="000000"/>
                            </a:solidFill>
                            <a:prstDash val="solid"/>
                            <a:headEnd type="none" w="med" len="med"/>
                            <a:tailEnd type="triangle" w="med" len="med"/>
                          </a:ln>
                          <a:effectLst/>
                        </wps:spPr>
                        <wps:bodyPr upright="1"/>
                      </wps:wsp>
                      <wps:wsp>
                        <wps:cNvPr id="7" name="直接连接符 7"/>
                        <wps:cNvCnPr/>
                        <wps:spPr>
                          <a:xfrm>
                            <a:off x="3428700" y="495"/>
                            <a:ext cx="343200" cy="1"/>
                          </a:xfrm>
                          <a:prstGeom prst="line">
                            <a:avLst/>
                          </a:prstGeom>
                          <a:ln w="9525" cap="flat" cmpd="sng">
                            <a:solidFill>
                              <a:srgbClr val="000000"/>
                            </a:solidFill>
                            <a:prstDash val="solid"/>
                            <a:headEnd type="none" w="med" len="med"/>
                            <a:tailEnd type="triangle" w="med" len="med"/>
                          </a:ln>
                          <a:effectLst/>
                        </wps:spPr>
                        <wps:bodyPr upright="1"/>
                      </wps:wsp>
                      <wps:wsp>
                        <wps:cNvPr id="8" name="矩形 8"/>
                        <wps:cNvSpPr/>
                        <wps:spPr>
                          <a:xfrm>
                            <a:off x="0" y="1090"/>
                            <a:ext cx="913400" cy="69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市本级或直属单位自行填写后上报</w:t>
                              </w:r>
                            </w:p>
                          </w:txbxContent>
                        </wps:txbx>
                        <wps:bodyPr upright="1"/>
                      </wps:wsp>
                      <wps:wsp>
                        <wps:cNvPr id="9" name="直接连接符 9"/>
                        <wps:cNvCnPr/>
                        <wps:spPr>
                          <a:xfrm>
                            <a:off x="2171400" y="1387"/>
                            <a:ext cx="114600" cy="1"/>
                          </a:xfrm>
                          <a:prstGeom prst="line">
                            <a:avLst/>
                          </a:prstGeom>
                          <a:ln w="9525" cap="flat" cmpd="sng">
                            <a:solidFill>
                              <a:srgbClr val="000000"/>
                            </a:solidFill>
                            <a:prstDash val="solid"/>
                            <a:headEnd type="none" w="med" len="med"/>
                            <a:tailEnd type="none" w="med" len="med"/>
                          </a:ln>
                          <a:effectLst/>
                        </wps:spPr>
                        <wps:bodyPr upright="1"/>
                      </wps:wsp>
                      <wps:wsp>
                        <wps:cNvPr id="10" name="矩形 10"/>
                        <wps:cNvSpPr/>
                        <wps:spPr>
                          <a:xfrm>
                            <a:off x="1257300" y="1090"/>
                            <a:ext cx="912700" cy="6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省本级或直属单位自行填写后上报</w:t>
                              </w:r>
                            </w:p>
                            <w:p>
                              <w:pPr>
                                <w:rPr>
                                  <w:szCs w:val="18"/>
                                </w:rPr>
                              </w:pPr>
                            </w:p>
                          </w:txbxContent>
                        </wps:txbx>
                        <wps:bodyPr upright="1"/>
                      </wps:wsp>
                      <wps:wsp>
                        <wps:cNvPr id="11" name="直接连接符 11"/>
                        <wps:cNvCnPr/>
                        <wps:spPr>
                          <a:xfrm flipV="1">
                            <a:off x="2286000" y="495"/>
                            <a:ext cx="800" cy="892"/>
                          </a:xfrm>
                          <a:prstGeom prst="line">
                            <a:avLst/>
                          </a:prstGeom>
                          <a:ln w="9525" cap="flat" cmpd="sng">
                            <a:solidFill>
                              <a:srgbClr val="000000"/>
                            </a:solidFill>
                            <a:prstDash val="solid"/>
                            <a:headEnd type="none" w="med" len="med"/>
                            <a:tailEnd type="none" w="med" len="med"/>
                          </a:ln>
                          <a:effectLst/>
                        </wps:spPr>
                        <wps:bodyPr upright="1"/>
                      </wps:wsp>
                      <wps:wsp>
                        <wps:cNvPr id="12" name="直接连接符 12"/>
                        <wps:cNvCnPr/>
                        <wps:spPr>
                          <a:xfrm flipV="1">
                            <a:off x="3543400" y="495"/>
                            <a:ext cx="700" cy="991"/>
                          </a:xfrm>
                          <a:prstGeom prst="line">
                            <a:avLst/>
                          </a:prstGeom>
                          <a:ln w="9525" cap="flat" cmpd="sng">
                            <a:solidFill>
                              <a:srgbClr val="000000"/>
                            </a:solidFill>
                            <a:prstDash val="solid"/>
                            <a:headEnd type="none" w="med" len="med"/>
                            <a:tailEnd type="none" w="med" len="med"/>
                          </a:ln>
                          <a:effectLst/>
                        </wps:spPr>
                        <wps:bodyPr upright="1"/>
                      </wps:wsp>
                      <wps:wsp>
                        <wps:cNvPr id="13" name="直接连接符 13"/>
                        <wps:cNvCnPr/>
                        <wps:spPr>
                          <a:xfrm>
                            <a:off x="3428700" y="1486"/>
                            <a:ext cx="115400" cy="1"/>
                          </a:xfrm>
                          <a:prstGeom prst="line">
                            <a:avLst/>
                          </a:prstGeom>
                          <a:ln w="9525" cap="flat" cmpd="sng">
                            <a:solidFill>
                              <a:srgbClr val="000000"/>
                            </a:solidFill>
                            <a:prstDash val="solid"/>
                            <a:headEnd type="none" w="med" len="med"/>
                            <a:tailEnd type="none" w="med" len="med"/>
                          </a:ln>
                          <a:effectLst/>
                        </wps:spPr>
                        <wps:bodyPr upright="1"/>
                      </wps:wsp>
                      <wps:wsp>
                        <wps:cNvPr id="14" name="矩形 14"/>
                        <wps:cNvSpPr/>
                        <wps:spPr>
                          <a:xfrm>
                            <a:off x="2514600" y="1090"/>
                            <a:ext cx="913400" cy="6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sz w:val="18"/>
                                  <w:szCs w:val="18"/>
                                </w:rPr>
                                <w:t>部渔业直属单位自行填写后上报</w:t>
                              </w:r>
                            </w:p>
                            <w:p/>
                          </w:txbxContent>
                        </wps:txbx>
                        <wps:bodyPr upright="1"/>
                      </wps:wsp>
                      <wps:wsp>
                        <wps:cNvPr id="15" name="直接连接符 15"/>
                        <wps:cNvCnPr/>
                        <wps:spPr>
                          <a:xfrm>
                            <a:off x="914100" y="1387"/>
                            <a:ext cx="114600" cy="1"/>
                          </a:xfrm>
                          <a:prstGeom prst="line">
                            <a:avLst/>
                          </a:prstGeom>
                          <a:ln w="9525" cap="flat" cmpd="sng">
                            <a:solidFill>
                              <a:srgbClr val="000000"/>
                            </a:solidFill>
                            <a:prstDash val="solid"/>
                            <a:headEnd type="none" w="med" len="med"/>
                            <a:tailEnd type="none" w="med" len="med"/>
                          </a:ln>
                          <a:effectLst/>
                        </wps:spPr>
                        <wps:bodyPr upright="1"/>
                      </wps:wsp>
                      <wps:wsp>
                        <wps:cNvPr id="16" name="直接连接符 16"/>
                        <wps:cNvCnPr/>
                        <wps:spPr>
                          <a:xfrm flipV="1">
                            <a:off x="1028700" y="495"/>
                            <a:ext cx="0" cy="892"/>
                          </a:xfrm>
                          <a:prstGeom prst="line">
                            <a:avLst/>
                          </a:prstGeom>
                          <a:ln w="9525" cap="flat" cmpd="sng">
                            <a:solidFill>
                              <a:srgbClr val="000000"/>
                            </a:solidFill>
                            <a:prstDash val="solid"/>
                            <a:headEnd type="none" w="med" len="med"/>
                            <a:tailEnd type="none" w="med" len="med"/>
                          </a:ln>
                          <a:effectLst/>
                        </wps:spPr>
                        <wps:bodyPr upright="1"/>
                      </wps:wsp>
                    </wpc:wpc>
                  </a:graphicData>
                </a:graphic>
              </wp:inline>
            </w:drawing>
          </mc:Choice>
          <mc:Fallback>
            <w:pict>
              <v:group id="画布 3" o:spid="_x0000_s1026" o:spt="203" style="height:156pt;width:414pt;" coordsize="5257800,1981200" editas="canvas" o:gfxdata="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D1x53U1QAAAAUBAAAPAAAAAAAAAAEAIAAAACIAAABkcnMv&#10;ZG93bnJldi54bWxQSwECFAAUAAAACACHTuJA/Dnj4rIEAAC5JgAADgAAAAAAAAABACAAAAAkAQAA&#10;ZHJzL2Uyb0RvYy54bWxQSwUGAAAAAAYABgBZAQAASAgAAAAA&#10;">
                <o:lock v:ext="edit" aspectratio="f"/>
                <v:shape id="画布 3" o:spid="_x0000_s1026" style="position:absolute;left:0;top:0;height:1981200;width:5257800;" filled="f" stroked="f" coordsize="21600,21600" o:gfxdata="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PXHndTVAAAABQEAAA8AAAAAAAAAAQAgAAAAIgAAAGRy&#10;cy9kb3ducmV2LnhtbFBLAQIUABQAAAAIAIdO4kAn2UuWewQAAD4mAAAOAAAAAAAAAAEAIAAAACQB&#10;AABkcnMvZTJvRG9jLnhtbFBLBQYAAAAABgAGAFkBAAARCAAAAAA=&#10;">
                  <v:fill on="f" focussize="0,0"/>
                  <v:stroke on="f"/>
                  <v:imagedata o:title=""/>
                  <o:lock v:ext="edit" aspectratio="t"/>
                </v:shape>
                <v:rect id="_x0000_s1026" o:spid="_x0000_s1026" o:spt="1" style="position:absolute;left:0;top:198;height:693;width:914100;" fillcolor="#FFFFFF" filled="t" stroked="t" coordsize="21600,21600" o:gfxdata="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p4cB1AAAAAUBAAAPAAAAAAAAAAEAIAAAACIAAABkcnMvZG93&#10;bnJldi54bWxQSwECFAAUAAAACACHTuJA6Cc7kwQCAAA1BAAADgAAAAAAAAABACAAAAAjAQAAZHJz&#10;L2Uyb0RvYy54bWxQSwUGAAAAAAYABgBZAQAAmQUAAAAA&#10;">
                  <v:fill on="t" focussize="0,0"/>
                  <v:stroke color="#000000" joinstyle="miter"/>
                  <v:imagedata o:title=""/>
                  <o:lock v:ext="edit" aspectratio="f"/>
                  <v:textbox>
                    <w:txbxContent>
                      <w:p>
                        <w:pPr>
                          <w:rPr>
                            <w:sz w:val="18"/>
                            <w:szCs w:val="18"/>
                          </w:rPr>
                        </w:pPr>
                        <w:r>
                          <w:rPr>
                            <w:rFonts w:hint="eastAsia"/>
                            <w:sz w:val="18"/>
                            <w:szCs w:val="18"/>
                          </w:rPr>
                          <w:t>区县级渔业主管部门自行填写后上报</w:t>
                        </w:r>
                      </w:p>
                      <w:p>
                        <w:pPr>
                          <w:rPr>
                            <w:szCs w:val="18"/>
                          </w:rPr>
                        </w:pPr>
                      </w:p>
                    </w:txbxContent>
                  </v:textbox>
                </v:rect>
                <v:line id="_x0000_s1026" o:spid="_x0000_s1026" o:spt="20" style="position:absolute;left:914100;top:495;height:1;width:343900;" filled="f" stroked="t" coordsize="21600,21600" o:gfxdata="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LcAy9UAAAAFAQAADwAAAAAAAAABACAAAAAiAAAAZHJz&#10;L2Rvd25yZXYueG1sUEsBAhQAFAAAAAgAh07iQKkgZ9oHAgAA/AMAAA4AAAAAAAAAAQAgAAAAJAEA&#10;AGRycy9lMm9Eb2MueG1sUEsFBgAAAAAGAAYAWQEAAJ0FAAAAAA==&#10;">
                  <v:fill on="f" focussize="0,0"/>
                  <v:stroke color="#000000" joinstyle="round" endarrow="block"/>
                  <v:imagedata o:title=""/>
                  <o:lock v:ext="edit" aspectratio="f"/>
                </v:line>
                <v:rect id="_x0000_s1026" o:spid="_x0000_s1026" o:spt="1" style="position:absolute;left:1257300;top:198;height:693;width:913400;" fillcolor="#C0C0C0" filled="t" stroked="t" coordsize="21600,21600" o:gfxdata="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3INLr1AAAAAUBAAAPAAAAAAAAAAEAIAAAACIA&#10;AABkcnMvZG93bnJldi54bWxQSwECFAAUAAAACACHTuJAtPCYIA0CAAA7BAAADgAAAAAAAAABACAA&#10;AAAjAQAAZHJzL2Uyb0RvYy54bWxQSwUGAAAAAAYABgBZAQAAogUAAAAA&#10;">
                  <v:fill on="t" focussize="0,0"/>
                  <v:stroke color="#000000" joinstyle="miter"/>
                  <v:imagedata o:title=""/>
                  <o:lock v:ext="edit" aspectratio="f"/>
                  <v:textbox>
                    <w:txbxContent>
                      <w:p>
                        <w:pPr>
                          <w:rPr>
                            <w:sz w:val="18"/>
                            <w:szCs w:val="18"/>
                          </w:rPr>
                        </w:pPr>
                        <w:r>
                          <w:rPr>
                            <w:rFonts w:hint="eastAsia"/>
                            <w:sz w:val="18"/>
                            <w:szCs w:val="18"/>
                          </w:rPr>
                          <w:t>市级渔业主管部门审核无误后上报</w:t>
                        </w:r>
                      </w:p>
                    </w:txbxContent>
                  </v:textbox>
                </v:rect>
                <v:rect id="_x0000_s1026" o:spid="_x0000_s1026" o:spt="1" style="position:absolute;left:2514600;top:198;height:693;width:911900;" fillcolor="#C0C0C0" filled="t" stroked="t" coordsize="21600,21600" o:gfxdata="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cg0uvUAAAABQEAAA8AAAAAAAAAAQAgAAAAIgAA&#10;AGRycy9kb3ducmV2LnhtbFBLAQIUABQAAAAIAIdO4kDwW/t5DAIAADsEAAAOAAAAAAAAAAEAIAAA&#10;ACMBAABkcnMvZTJvRG9jLnhtbFBLBQYAAAAABgAGAFkBAAChBQAAAAA=&#10;">
                  <v:fill on="t" focussize="0,0"/>
                  <v:stroke color="#000000" joinstyle="miter"/>
                  <v:imagedata o:title=""/>
                  <o:lock v:ext="edit" aspectratio="f"/>
                  <v:textbox>
                    <w:txbxContent>
                      <w:p>
                        <w:pPr>
                          <w:rPr>
                            <w:sz w:val="18"/>
                            <w:szCs w:val="18"/>
                          </w:rPr>
                        </w:pPr>
                        <w:r>
                          <w:rPr>
                            <w:rFonts w:hint="eastAsia"/>
                            <w:sz w:val="18"/>
                            <w:szCs w:val="18"/>
                          </w:rPr>
                          <w:t>省级渔业主管部门审核无误后上报</w:t>
                        </w:r>
                      </w:p>
                      <w:p/>
                    </w:txbxContent>
                  </v:textbox>
                </v:rect>
                <v:rect id="_x0000_s1026" o:spid="_x0000_s1026" o:spt="1" style="position:absolute;left:3771900;top:198;height:693;width:914100;" fillcolor="#C0C0C0" filled="t" stroked="t" coordsize="21600,21600" o:gfxdata="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cg0uvUAAAABQEAAA8AAAAAAAAAAQAgAAAAIgAA&#10;AGRycy9kb3ducmV2LnhtbFBLAQIUABQAAAAIAIdO4kD/oxAfDAIAADsEAAAOAAAAAAAAAAEAIAAA&#10;ACMBAABkcnMvZTJvRG9jLnhtbFBLBQYAAAAABgAGAFkBAAChBQAAAAA=&#10;">
                  <v:fill on="t" focussize="0,0"/>
                  <v:stroke color="#000000" joinstyle="miter"/>
                  <v:imagedata o:title=""/>
                  <o:lock v:ext="edit" aspectratio="f"/>
                  <v:textbox>
                    <w:txbxContent>
                      <w:p>
                        <w:pPr>
                          <w:rPr>
                            <w:sz w:val="18"/>
                            <w:szCs w:val="18"/>
                          </w:rPr>
                        </w:pPr>
                        <w:r>
                          <w:rPr>
                            <w:rFonts w:hint="eastAsia"/>
                            <w:sz w:val="18"/>
                            <w:szCs w:val="18"/>
                          </w:rPr>
                          <w:t>农业农村部渔业渔政管理局进行审核</w:t>
                        </w:r>
                      </w:p>
                      <w:p/>
                    </w:txbxContent>
                  </v:textbox>
                </v:rect>
                <v:line id="_x0000_s1026" o:spid="_x0000_s1026" o:spt="20" style="position:absolute;left:2171400;top:495;height:1;width:343900;" filled="f" stroked="t" coordsize="21600,21600" o:gfxdata="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twDL1QAAAAUBAAAPAAAAAAAAAAEAIAAAACIAAABk&#10;cnMvZG93bnJldi54bWxQSwECFAAUAAAACACHTuJATmcGRwkCAAD9AwAADgAAAAAAAAABACAAAAAk&#10;AQAAZHJzL2Uyb0RvYy54bWxQSwUGAAAAAAYABgBZAQAAnwUAAAAA&#10;">
                  <v:fill on="f" focussize="0,0"/>
                  <v:stroke color="#000000" joinstyle="round" endarrow="block"/>
                  <v:imagedata o:title=""/>
                  <o:lock v:ext="edit" aspectratio="f"/>
                </v:line>
                <v:line id="_x0000_s1026" o:spid="_x0000_s1026" o:spt="20" style="position:absolute;left:3428700;top:495;height:1;width:343200;" filled="f" stroked="t" coordsize="21600,21600" o:gfxdata="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i3AMvVAAAABQEAAA8AAAAAAAAAAQAgAAAAIgAAAGRy&#10;cy9kb3ducmV2LnhtbFBLAQIUABQAAAAIAIdO4kAjewEWCAIAAP0DAAAOAAAAAAAAAAEAIAAAACQB&#10;AABkcnMvZTJvRG9jLnhtbFBLBQYAAAAABgAGAFkBAACeBQAAAAA=&#10;">
                  <v:fill on="f" focussize="0,0"/>
                  <v:stroke color="#000000" joinstyle="round" endarrow="block"/>
                  <v:imagedata o:title=""/>
                  <o:lock v:ext="edit" aspectratio="f"/>
                </v:line>
                <v:rect id="_x0000_s1026" o:spid="_x0000_s1026" o:spt="1" style="position:absolute;left:0;top:1090;height:693;width:913400;" fillcolor="#FFFFFF" filled="t" stroked="t" coordsize="21600,21600" o:gfxdata="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KeHAdQAAAAFAQAADwAAAAAAAAABACAAAAAiAAAAZHJzL2Rv&#10;d25yZXYueG1sUEsBAhQAFAAAAAgAh07iQDpG2H0FAgAANgQAAA4AAAAAAAAAAQAgAAAAIwEAAGRy&#10;cy9lMm9Eb2MueG1sUEsFBgAAAAAGAAYAWQEAAJoFAAAAAA==&#10;">
                  <v:fill on="t" focussize="0,0"/>
                  <v:stroke color="#000000" joinstyle="miter"/>
                  <v:imagedata o:title=""/>
                  <o:lock v:ext="edit" aspectratio="f"/>
                  <v:textbox>
                    <w:txbxContent>
                      <w:p>
                        <w:pPr>
                          <w:rPr>
                            <w:sz w:val="18"/>
                            <w:szCs w:val="18"/>
                          </w:rPr>
                        </w:pPr>
                        <w:r>
                          <w:rPr>
                            <w:rFonts w:hint="eastAsia"/>
                            <w:sz w:val="18"/>
                            <w:szCs w:val="18"/>
                          </w:rPr>
                          <w:t>市本级或直属单位自行填写后上报</w:t>
                        </w:r>
                      </w:p>
                    </w:txbxContent>
                  </v:textbox>
                </v:rect>
                <v:line id="_x0000_s1026" o:spid="_x0000_s1026" o:spt="20" style="position:absolute;left:2171400;top:1387;height:1;width:114600;" filled="f" stroked="t" coordsize="21600,21600" o:gfxdata="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Lw6Or0wAAAAUBAAAPAAAAAAAAAAEAIAAAACIAAABkcnMvZG93bnJldi54&#10;bWxQSwECFAAUAAAACACHTuJASWJUvf8BAAD6AwAADgAAAAAAAAABACAAAAAiAQAAZHJzL2Uyb0Rv&#10;Yy54bWxQSwUGAAAAAAYABgBZAQAAkwUAAAAA&#10;">
                  <v:fill on="f" focussize="0,0"/>
                  <v:stroke color="#000000" joinstyle="round"/>
                  <v:imagedata o:title=""/>
                  <o:lock v:ext="edit" aspectratio="f"/>
                </v:line>
                <v:rect id="_x0000_s1026" o:spid="_x0000_s1026" o:spt="1" style="position:absolute;left:1257300;top:1090;height:692;width:912700;" fillcolor="#FFFFFF" filled="t" stroked="t" coordsize="21600,21600" o:gfxdata="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CnhwHUAAAABQEAAA8AAAAAAAAAAQAgAAAAIgAAAGRy&#10;cy9kb3ducmV2LnhtbFBLAQIUABQAAAAIAIdO4kBYF6ZeCQIAAD4EAAAOAAAAAAAAAAEAIAAAACMB&#10;AABkcnMvZTJvRG9jLnhtbFBLBQYAAAAABgAGAFkBAACeBQAAAAA=&#10;">
                  <v:fill on="t" focussize="0,0"/>
                  <v:stroke color="#000000" joinstyle="miter"/>
                  <v:imagedata o:title=""/>
                  <o:lock v:ext="edit" aspectratio="f"/>
                  <v:textbox>
                    <w:txbxContent>
                      <w:p>
                        <w:pPr>
                          <w:rPr>
                            <w:sz w:val="18"/>
                            <w:szCs w:val="18"/>
                          </w:rPr>
                        </w:pPr>
                        <w:r>
                          <w:rPr>
                            <w:rFonts w:hint="eastAsia"/>
                            <w:sz w:val="18"/>
                            <w:szCs w:val="18"/>
                          </w:rPr>
                          <w:t>省本级或直属单位自行填写后上报</w:t>
                        </w:r>
                      </w:p>
                      <w:p>
                        <w:pPr>
                          <w:rPr>
                            <w:szCs w:val="18"/>
                          </w:rPr>
                        </w:pPr>
                      </w:p>
                    </w:txbxContent>
                  </v:textbox>
                </v:rect>
                <v:line id="_x0000_s1026" o:spid="_x0000_s1026" o:spt="20" style="position:absolute;left:2286000;top:495;flip:y;height:892;width:800;" filled="f" stroked="t" coordsize="21600,21600" o:gfxdata="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9awF0wAAAAUBAAAPAAAAAAAAAAEAIAAAACIAAABkcnMv&#10;ZG93bnJldi54bWxQSwECFAAUAAAACACHTuJAGYnTYAgCAAAEBAAADgAAAAAAAAABACAAAAAiAQAA&#10;ZHJzL2Uyb0RvYy54bWxQSwUGAAAAAAYABgBZAQAAnAUAAAAA&#10;">
                  <v:fill on="f" focussize="0,0"/>
                  <v:stroke color="#000000" joinstyle="round"/>
                  <v:imagedata o:title=""/>
                  <o:lock v:ext="edit" aspectratio="f"/>
                </v:line>
                <v:line id="_x0000_s1026" o:spid="_x0000_s1026" o:spt="20" style="position:absolute;left:3543400;top:495;flip:y;height:991;width:700;" filled="f" stroked="t" coordsize="21600,21600" o:gfxdata="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1rAXTAAAABQEAAA8AAAAAAAAAAQAgAAAAIgAAAGRycy9k&#10;b3ducmV2LnhtbFBLAQIUABQAAAAIAIdO4kCc11W7BwIAAAQEAAAOAAAAAAAAAAEAIAAAACIBAABk&#10;cnMvZTJvRG9jLnhtbFBLBQYAAAAABgAGAFkBAACbBQAAAAA=&#10;">
                  <v:fill on="f" focussize="0,0"/>
                  <v:stroke color="#000000" joinstyle="round"/>
                  <v:imagedata o:title=""/>
                  <o:lock v:ext="edit" aspectratio="f"/>
                </v:line>
                <v:line id="_x0000_s1026" o:spid="_x0000_s1026" o:spt="20" style="position:absolute;left:3428700;top:1486;height:1;width:115400;" filled="f" stroked="t" coordsize="21600,21600" o:gfxdata="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vDo6vTAAAABQEAAA8AAAAAAAAAAQAgAAAAIgAAAGRycy9kb3ducmV2&#10;LnhtbFBLAQIUABQAAAAIAIdO4kAUwTShAQIAAPwDAAAOAAAAAAAAAAEAIAAAACIBAABkcnMvZTJv&#10;RG9jLnhtbFBLBQYAAAAABgAGAFkBAACVBQAAAAA=&#10;">
                  <v:fill on="f" focussize="0,0"/>
                  <v:stroke color="#000000" joinstyle="round"/>
                  <v:imagedata o:title=""/>
                  <o:lock v:ext="edit" aspectratio="f"/>
                </v:line>
                <v:rect id="_x0000_s1026" o:spid="_x0000_s1026" o:spt="1" style="position:absolute;left:2514600;top:1090;height:692;width:913400;" fillcolor="#FFFFFF" filled="t" stroked="t" coordsize="21600,21600" o:gfxdata="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&#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p4cB1AAAAAUBAAAPAAAAAAAAAAEAIAAAACIAAABk&#10;cnMvZG93bnJldi54bWxQSwECFAAUAAAACACHTuJAnfuyQgoCAAA+BAAADgAAAAAAAAABACAAAAAj&#10;AQAAZHJzL2Uyb0RvYy54bWxQSwUGAAAAAAYABgBZAQAAnwUAAAAA&#10;">
                  <v:fill on="t" focussize="0,0"/>
                  <v:stroke color="#000000" joinstyle="miter"/>
                  <v:imagedata o:title=""/>
                  <o:lock v:ext="edit" aspectratio="f"/>
                  <v:textbox>
                    <w:txbxContent>
                      <w:p>
                        <w:pPr>
                          <w:rPr>
                            <w:sz w:val="18"/>
                            <w:szCs w:val="18"/>
                          </w:rPr>
                        </w:pPr>
                        <w:r>
                          <w:rPr>
                            <w:rFonts w:hint="eastAsia"/>
                            <w:sz w:val="18"/>
                            <w:szCs w:val="18"/>
                          </w:rPr>
                          <w:t>部渔业直属单位自行填写后上报</w:t>
                        </w:r>
                      </w:p>
                      <w:p/>
                    </w:txbxContent>
                  </v:textbox>
                </v:rect>
                <v:line id="_x0000_s1026" o:spid="_x0000_s1026" o:spt="20" style="position:absolute;left:914100;top:1387;height:1;width:114600;" filled="f" stroked="t" coordsize="21600,21600" o:gfxdata="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Lw6Or0wAAAAUBAAAPAAAAAAAAAAEAIAAAACIAAABkcnMvZG93bnJldi54&#10;bWxQSwECFAAUAAAACACHTuJA2YiXJv8BAAD7AwAADgAAAAAAAAABACAAAAAiAQAAZHJzL2Uyb0Rv&#10;Yy54bWxQSwUGAAAAAAYABgBZAQAAkwUAAAAA&#10;">
                  <v:fill on="f" focussize="0,0"/>
                  <v:stroke color="#000000" joinstyle="round"/>
                  <v:imagedata o:title=""/>
                  <o:lock v:ext="edit" aspectratio="f"/>
                </v:line>
                <v:line id="_x0000_s1026" o:spid="_x0000_s1026" o:spt="20" style="position:absolute;left:1028700;top:495;flip:y;height:892;width:0;" filled="f" stroked="t" coordsize="21600,21600" o:gfxdata="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1rAXTAAAABQEAAA8AAAAAAAAAAQAgAAAAIgAAAGRycy9k&#10;b3ducmV2LnhtbFBLAQIUABQAAAAIAIdO4kChP8bxBwIAAAIEAAAOAAAAAAAAAAEAIAAAACIBAABk&#10;cnMvZTJvRG9jLnhtbFBLBQYAAAAABgAGAFkBAACbBQAAAAA=&#10;">
                  <v:fill on="f" focussize="0,0"/>
                  <v:stroke color="#000000" joinstyle="round"/>
                  <v:imagedata o:title=""/>
                  <o:lock v:ext="edit" aspectratio="f"/>
                </v:line>
                <w10:wrap type="none"/>
                <w10:anchorlock/>
              </v:group>
            </w:pict>
          </mc:Fallback>
        </mc:AlternateContent>
      </w:r>
    </w:p>
    <w:p>
      <w:pPr>
        <w:widowControl/>
        <w:spacing w:line="360" w:lineRule="auto"/>
        <w:jc w:val="center"/>
        <w:rPr>
          <w:rFonts w:ascii="宋体"/>
        </w:rPr>
      </w:pPr>
      <w:r>
        <w:rPr>
          <w:rFonts w:hint="eastAsia" w:ascii="宋体" w:hAnsi="宋体"/>
        </w:rPr>
        <w:t>图</w:t>
      </w:r>
      <w:r>
        <w:rPr>
          <w:rFonts w:ascii="宋体" w:hAnsi="宋体"/>
        </w:rPr>
        <w:t xml:space="preserve">6 </w:t>
      </w:r>
      <w:r>
        <w:rPr>
          <w:rFonts w:hint="eastAsia"/>
        </w:rPr>
        <w:t>资源养护基础报表报送基本流程</w:t>
      </w:r>
    </w:p>
    <w:p>
      <w:pPr>
        <w:spacing w:line="360" w:lineRule="auto"/>
        <w:ind w:firstLine="422" w:firstLineChars="200"/>
        <w:rPr>
          <w:rFonts w:ascii="黑体" w:hAnsi="宋体" w:eastAsia="黑体"/>
          <w:color w:val="000000"/>
          <w:szCs w:val="21"/>
          <w:lang w:val="nb-NO"/>
        </w:rPr>
      </w:pPr>
      <w:r>
        <w:rPr>
          <w:b/>
        </w:rPr>
        <w:t>2.</w:t>
      </w:r>
      <w:r>
        <w:rPr>
          <w:rFonts w:hint="eastAsia"/>
          <w:b/>
          <w:bCs/>
        </w:rPr>
        <w:t>需要审核报表。</w:t>
      </w:r>
      <w:r>
        <w:rPr>
          <w:rFonts w:hint="eastAsia"/>
        </w:rPr>
        <w:t>点击</w:t>
      </w:r>
      <w:r>
        <w:rPr>
          <w:rFonts w:hint="eastAsia" w:ascii="宋体" w:hAnsi="宋体"/>
        </w:rPr>
        <w:t>【</w:t>
      </w:r>
      <w:r>
        <w:rPr>
          <w:rFonts w:hint="eastAsia"/>
        </w:rPr>
        <w:t>需要审核报表</w:t>
      </w:r>
      <w:r>
        <w:rPr>
          <w:rFonts w:hint="eastAsia" w:ascii="宋体" w:hAnsi="宋体"/>
        </w:rPr>
        <w:t>】</w:t>
      </w:r>
      <w:r>
        <w:rPr>
          <w:rFonts w:hint="eastAsia"/>
        </w:rPr>
        <w:t>后选择报送年份和报送报表后点击查看，再选择需要审核报表后点击查看数据（见图</w:t>
      </w:r>
      <w:r>
        <w:t>7</w:t>
      </w:r>
      <w:r>
        <w:rPr>
          <w:rFonts w:hint="eastAsia"/>
        </w:rPr>
        <w:t>），进行审核或驳回操作。注意：审核只能逐级审核。</w:t>
      </w:r>
    </w:p>
    <w:p>
      <w:pPr>
        <w:spacing w:line="360" w:lineRule="auto"/>
        <w:rPr>
          <w:rFonts w:ascii="黑体" w:hAnsi="宋体" w:eastAsia="黑体"/>
          <w:color w:val="000000"/>
          <w:szCs w:val="21"/>
          <w:lang w:val="nb-NO"/>
        </w:rPr>
      </w:pPr>
      <w:r>
        <w:rPr>
          <w:rFonts w:hint="eastAsia" w:ascii="黑体" w:hAnsi="宋体" w:eastAsia="黑体"/>
          <w:color w:val="000000"/>
          <w:szCs w:val="21"/>
        </w:rPr>
        <w:drawing>
          <wp:inline distT="0" distB="0" distL="114300" distR="114300">
            <wp:extent cx="5290820" cy="903605"/>
            <wp:effectExtent l="0" t="0" r="5080" b="10795"/>
            <wp:docPr id="30" name="图片 7" descr="QQ截图201609211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QQ截图20160921170949"/>
                    <pic:cNvPicPr>
                      <a:picLocks noChangeAspect="1"/>
                    </pic:cNvPicPr>
                  </pic:nvPicPr>
                  <pic:blipFill>
                    <a:blip r:embed="rId11"/>
                    <a:stretch>
                      <a:fillRect/>
                    </a:stretch>
                  </pic:blipFill>
                  <pic:spPr>
                    <a:xfrm>
                      <a:off x="0" y="0"/>
                      <a:ext cx="5290820" cy="903605"/>
                    </a:xfrm>
                    <a:prstGeom prst="rect">
                      <a:avLst/>
                    </a:prstGeom>
                    <a:noFill/>
                    <a:ln>
                      <a:noFill/>
                    </a:ln>
                  </pic:spPr>
                </pic:pic>
              </a:graphicData>
            </a:graphic>
          </wp:inline>
        </w:drawing>
      </w:r>
    </w:p>
    <w:p>
      <w:pPr>
        <w:widowControl/>
        <w:spacing w:line="360" w:lineRule="auto"/>
        <w:jc w:val="center"/>
        <w:rPr>
          <w:rFonts w:ascii="宋体"/>
        </w:rPr>
      </w:pPr>
      <w:r>
        <w:rPr>
          <w:rFonts w:hint="eastAsia" w:ascii="宋体" w:hAnsi="宋体"/>
        </w:rPr>
        <w:t>图</w:t>
      </w:r>
      <w:r>
        <w:rPr>
          <w:rFonts w:ascii="宋体" w:hAnsi="宋体"/>
        </w:rPr>
        <w:t xml:space="preserve">7 </w:t>
      </w:r>
      <w:r>
        <w:rPr>
          <w:rFonts w:hint="eastAsia"/>
        </w:rPr>
        <w:t>需要审核报表初始界面</w:t>
      </w:r>
    </w:p>
    <w:p>
      <w:pPr>
        <w:spacing w:line="360" w:lineRule="auto"/>
        <w:ind w:firstLine="422" w:firstLineChars="200"/>
        <w:rPr>
          <w:rFonts w:ascii="黑体" w:hAnsi="宋体" w:eastAsia="黑体"/>
          <w:color w:val="000000"/>
          <w:szCs w:val="21"/>
          <w:lang w:val="nb-NO"/>
        </w:rPr>
      </w:pPr>
      <w:r>
        <w:rPr>
          <w:b/>
        </w:rPr>
        <w:t>3.</w:t>
      </w:r>
      <w:r>
        <w:rPr>
          <w:rFonts w:hint="eastAsia"/>
          <w:b/>
          <w:bCs/>
        </w:rPr>
        <w:t>需要驳回报表。</w:t>
      </w:r>
      <w:r>
        <w:rPr>
          <w:rFonts w:hint="eastAsia"/>
        </w:rPr>
        <w:t>点击</w:t>
      </w:r>
      <w:r>
        <w:rPr>
          <w:rFonts w:hint="eastAsia" w:ascii="宋体" w:hAnsi="宋体"/>
        </w:rPr>
        <w:t>【</w:t>
      </w:r>
      <w:r>
        <w:rPr>
          <w:rFonts w:hint="eastAsia"/>
        </w:rPr>
        <w:t>需要驳回报表</w:t>
      </w:r>
      <w:r>
        <w:rPr>
          <w:rFonts w:hint="eastAsia" w:ascii="宋体" w:hAnsi="宋体"/>
        </w:rPr>
        <w:t>】</w:t>
      </w:r>
      <w:r>
        <w:rPr>
          <w:rFonts w:hint="eastAsia"/>
        </w:rPr>
        <w:t>后选择报送年份和报送报表后点击查看，再选择需要驳回报表后点击查看数据，进行驳回操作。注意：驳回功能将直接驳回至报表填报用户。</w:t>
      </w:r>
    </w:p>
    <w:p>
      <w:pPr>
        <w:spacing w:line="360" w:lineRule="auto"/>
        <w:ind w:firstLine="422" w:firstLineChars="200"/>
        <w:rPr>
          <w:rFonts w:ascii="楷体_GB2312" w:hAnsi="宋体" w:eastAsia="楷体_GB2312"/>
          <w:b/>
        </w:rPr>
      </w:pPr>
      <w:r>
        <w:rPr>
          <w:rFonts w:hint="eastAsia" w:ascii="楷体_GB2312" w:hAnsi="宋体" w:eastAsia="楷体_GB2312"/>
          <w:b/>
        </w:rPr>
        <w:t>（四）</w:t>
      </w:r>
      <w:r>
        <w:fldChar w:fldCharType="begin"/>
      </w:r>
      <w:r>
        <w:instrText xml:space="preserve"> HYPERLINK "http://localhost:4572/DataCenter/Sheet_State.aspx" </w:instrText>
      </w:r>
      <w:r>
        <w:fldChar w:fldCharType="separate"/>
      </w:r>
      <w:r>
        <w:rPr>
          <w:rFonts w:hint="eastAsia" w:ascii="楷体_GB2312" w:hAnsi="宋体" w:eastAsia="楷体_GB2312"/>
          <w:b/>
        </w:rPr>
        <w:t>供苗单位信息</w:t>
      </w:r>
      <w:r>
        <w:rPr>
          <w:rFonts w:hint="eastAsia" w:ascii="楷体_GB2312" w:hAnsi="宋体" w:eastAsia="楷体_GB2312"/>
          <w:b/>
        </w:rPr>
        <w:fldChar w:fldCharType="end"/>
      </w:r>
    </w:p>
    <w:p>
      <w:pPr>
        <w:spacing w:line="360" w:lineRule="auto"/>
        <w:ind w:firstLine="517" w:firstLineChars="245"/>
      </w:pPr>
      <w:r>
        <w:rPr>
          <w:rFonts w:ascii="宋体" w:hAnsi="宋体"/>
          <w:b/>
          <w:color w:val="000000"/>
          <w:szCs w:val="21"/>
        </w:rPr>
        <w:t>1.</w:t>
      </w:r>
      <w:r>
        <w:rPr>
          <w:rFonts w:hint="eastAsia" w:ascii="宋体" w:hAnsi="宋体"/>
          <w:b/>
          <w:color w:val="000000"/>
          <w:szCs w:val="21"/>
        </w:rPr>
        <w:t>单位管理。</w:t>
      </w:r>
      <w:r>
        <w:rPr>
          <w:rFonts w:hint="eastAsia"/>
        </w:rPr>
        <w:t>点击</w:t>
      </w:r>
      <w:r>
        <w:rPr>
          <w:rFonts w:hint="eastAsia" w:ascii="宋体" w:hAnsi="宋体"/>
        </w:rPr>
        <w:t>【</w:t>
      </w:r>
      <w:r>
        <w:rPr>
          <w:rFonts w:hint="eastAsia"/>
        </w:rPr>
        <w:t>增加</w:t>
      </w:r>
      <w:r>
        <w:rPr>
          <w:rFonts w:hint="eastAsia" w:ascii="宋体" w:hAnsi="宋体"/>
        </w:rPr>
        <w:t>】可</w:t>
      </w:r>
      <w:r>
        <w:rPr>
          <w:rFonts w:hint="eastAsia"/>
        </w:rPr>
        <w:t>添加新的供苗单位（如图</w:t>
      </w:r>
      <w:r>
        <w:t>8</w:t>
      </w:r>
      <w:r>
        <w:rPr>
          <w:rFonts w:hint="eastAsia"/>
        </w:rPr>
        <w:t>所示），点击</w:t>
      </w:r>
      <w:r>
        <w:rPr>
          <w:rFonts w:hint="eastAsia" w:ascii="宋体" w:hAnsi="宋体"/>
        </w:rPr>
        <w:t>【</w:t>
      </w:r>
      <w:r>
        <w:rPr>
          <w:rFonts w:hint="eastAsia"/>
        </w:rPr>
        <w:t>单位管理</w:t>
      </w:r>
      <w:r>
        <w:rPr>
          <w:rFonts w:hint="eastAsia" w:ascii="宋体" w:hAnsi="宋体"/>
        </w:rPr>
        <w:t>】可查看并</w:t>
      </w:r>
      <w:r>
        <w:rPr>
          <w:rFonts w:hint="eastAsia"/>
        </w:rPr>
        <w:t>对本行政区域内已增加的供苗单位信息进行修改。</w:t>
      </w:r>
      <w:r>
        <w:rPr>
          <w:rFonts w:hint="eastAsia" w:ascii="宋体" w:hAnsi="宋体"/>
        </w:rPr>
        <w:t>注意：可以添加本行政区域外的供苗单位，但在单位管理中查看不到，选择该供苗单位所属行政区域（包括省市县）进行检索可以看到。</w:t>
      </w:r>
    </w:p>
    <w:p>
      <w:r>
        <w:rPr>
          <w:rFonts w:hint="eastAsia"/>
        </w:rPr>
        <w:drawing>
          <wp:inline distT="0" distB="0" distL="114300" distR="114300">
            <wp:extent cx="5302250" cy="2484120"/>
            <wp:effectExtent l="0" t="0" r="12700" b="11430"/>
            <wp:docPr id="24" name="图片 8" descr="QQ截图201609221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QQ截图20160922112155"/>
                    <pic:cNvPicPr>
                      <a:picLocks noChangeAspect="1"/>
                    </pic:cNvPicPr>
                  </pic:nvPicPr>
                  <pic:blipFill>
                    <a:blip r:embed="rId12"/>
                    <a:stretch>
                      <a:fillRect/>
                    </a:stretch>
                  </pic:blipFill>
                  <pic:spPr>
                    <a:xfrm>
                      <a:off x="0" y="0"/>
                      <a:ext cx="5302250" cy="2484120"/>
                    </a:xfrm>
                    <a:prstGeom prst="rect">
                      <a:avLst/>
                    </a:prstGeom>
                    <a:noFill/>
                    <a:ln>
                      <a:noFill/>
                    </a:ln>
                  </pic:spPr>
                </pic:pic>
              </a:graphicData>
            </a:graphic>
          </wp:inline>
        </w:drawing>
      </w:r>
    </w:p>
    <w:p>
      <w:pPr>
        <w:widowControl/>
        <w:spacing w:line="360" w:lineRule="auto"/>
        <w:jc w:val="center"/>
      </w:pPr>
      <w:r>
        <w:rPr>
          <w:rFonts w:hint="eastAsia" w:ascii="宋体" w:hAnsi="宋体"/>
        </w:rPr>
        <w:t>图</w:t>
      </w:r>
      <w:r>
        <w:rPr>
          <w:rFonts w:ascii="宋体" w:hAnsi="宋体"/>
        </w:rPr>
        <w:t xml:space="preserve">8 </w:t>
      </w:r>
      <w:r>
        <w:rPr>
          <w:rFonts w:hint="eastAsia"/>
        </w:rPr>
        <w:t>新增供苗单位初始界面</w:t>
      </w:r>
    </w:p>
    <w:p>
      <w:pPr>
        <w:widowControl/>
        <w:spacing w:line="360" w:lineRule="auto"/>
        <w:ind w:firstLine="420"/>
        <w:rPr>
          <w:rFonts w:ascii="宋体"/>
          <w:b/>
          <w:szCs w:val="21"/>
        </w:rPr>
      </w:pPr>
      <w:r>
        <w:rPr>
          <w:rFonts w:hint="eastAsia"/>
        </w:rPr>
        <w:t>供苗单位信息填报包括</w:t>
      </w:r>
      <w:r>
        <w:fldChar w:fldCharType="begin"/>
      </w:r>
      <w:r>
        <w:instrText xml:space="preserve"> HYPERLINK "javascript:__doPostBack('GridView1$ctl02$LinkButton2','')" </w:instrText>
      </w:r>
      <w:r>
        <w:fldChar w:fldCharType="separate"/>
      </w:r>
      <w:r>
        <w:rPr>
          <w:rFonts w:hint="eastAsia"/>
        </w:rPr>
        <w:t>基本信息</w:t>
      </w:r>
      <w:r>
        <w:rPr>
          <w:rFonts w:hint="eastAsia"/>
        </w:rPr>
        <w:fldChar w:fldCharType="end"/>
      </w:r>
      <w:r>
        <w:rPr>
          <w:rFonts w:hint="eastAsia"/>
        </w:rPr>
        <w:t>、</w:t>
      </w:r>
      <w:r>
        <w:fldChar w:fldCharType="begin"/>
      </w:r>
      <w:r>
        <w:instrText xml:space="preserve"> HYPERLINK "javascript:__doPostBack('GridView1$ctl02$LinkButton5','')" </w:instrText>
      </w:r>
      <w:r>
        <w:fldChar w:fldCharType="separate"/>
      </w:r>
      <w:r>
        <w:rPr>
          <w:rFonts w:hint="eastAsia"/>
        </w:rPr>
        <w:t>其他信息</w:t>
      </w:r>
      <w:r>
        <w:rPr>
          <w:rFonts w:hint="eastAsia"/>
        </w:rPr>
        <w:fldChar w:fldCharType="end"/>
      </w:r>
      <w:r>
        <w:rPr>
          <w:rFonts w:hint="eastAsia"/>
        </w:rPr>
        <w:t>、</w:t>
      </w:r>
      <w:r>
        <w:fldChar w:fldCharType="begin"/>
      </w:r>
      <w:r>
        <w:instrText xml:space="preserve"> HYPERLINK "javascript:__doPostBack('GridView1$ctl02$LinkButton6','')" </w:instrText>
      </w:r>
      <w:r>
        <w:fldChar w:fldCharType="separate"/>
      </w:r>
      <w:r>
        <w:rPr>
          <w:rFonts w:hint="eastAsia"/>
        </w:rPr>
        <w:t>亲本信息</w:t>
      </w:r>
      <w:r>
        <w:rPr>
          <w:rFonts w:hint="eastAsia"/>
        </w:rPr>
        <w:fldChar w:fldCharType="end"/>
      </w:r>
      <w:r>
        <w:rPr>
          <w:rFonts w:hint="eastAsia"/>
        </w:rPr>
        <w:t>、</w:t>
      </w:r>
      <w:r>
        <w:fldChar w:fldCharType="begin"/>
      </w:r>
      <w:r>
        <w:instrText xml:space="preserve"> HYPERLINK "javascript:__doPostBack('GridView1$ctl02$LinkButton7','')" </w:instrText>
      </w:r>
      <w:r>
        <w:fldChar w:fldCharType="separate"/>
      </w:r>
      <w:r>
        <w:rPr>
          <w:rFonts w:hint="eastAsia"/>
        </w:rPr>
        <w:t>供苗能力</w:t>
      </w:r>
      <w:r>
        <w:rPr>
          <w:rFonts w:hint="eastAsia"/>
        </w:rPr>
        <w:fldChar w:fldCharType="end"/>
      </w:r>
      <w:r>
        <w:rPr>
          <w:rFonts w:hint="eastAsia"/>
        </w:rPr>
        <w:t>、</w:t>
      </w:r>
      <w:r>
        <w:fldChar w:fldCharType="begin"/>
      </w:r>
      <w:r>
        <w:instrText xml:space="preserve"> HYPERLINK "javascript:__doPostBack('GridView1$ctl02$LinkButton8','')" </w:instrText>
      </w:r>
      <w:r>
        <w:fldChar w:fldCharType="separate"/>
      </w:r>
      <w:r>
        <w:rPr>
          <w:rFonts w:hint="eastAsia"/>
        </w:rPr>
        <w:t>供苗任务</w:t>
      </w:r>
      <w:r>
        <w:rPr>
          <w:rFonts w:hint="eastAsia"/>
        </w:rPr>
        <w:fldChar w:fldCharType="end"/>
      </w:r>
      <w:r>
        <w:rPr>
          <w:rFonts w:hint="eastAsia"/>
        </w:rPr>
        <w:t>等</w:t>
      </w:r>
      <w:r>
        <w:t>5</w:t>
      </w:r>
      <w:r>
        <w:rPr>
          <w:rFonts w:hint="eastAsia"/>
        </w:rPr>
        <w:t>部分，需要依次填写，具体填写方法请点击每个填写页面上端的填报说明。基本信息页面填完后请点击页面下方的</w:t>
      </w:r>
      <w:r>
        <w:rPr>
          <w:rFonts w:hint="eastAsia" w:ascii="宋体" w:hAnsi="宋体"/>
        </w:rPr>
        <w:t>【</w:t>
      </w:r>
      <w:r>
        <w:rPr>
          <w:rFonts w:hint="eastAsia"/>
        </w:rPr>
        <w:t>保存</w:t>
      </w:r>
      <w:r>
        <w:rPr>
          <w:rFonts w:hint="eastAsia" w:ascii="宋体" w:hAnsi="宋体"/>
        </w:rPr>
        <w:t>】，继续填写供苗单位的其他信息。其他信息填写完成后</w:t>
      </w:r>
      <w:r>
        <w:rPr>
          <w:rFonts w:hint="eastAsia"/>
        </w:rPr>
        <w:t>请点击页面下方的</w:t>
      </w:r>
      <w:r>
        <w:rPr>
          <w:rFonts w:hint="eastAsia" w:ascii="宋体" w:hAnsi="宋体"/>
        </w:rPr>
        <w:t>【</w:t>
      </w:r>
      <w:r>
        <w:rPr>
          <w:rFonts w:hint="eastAsia"/>
        </w:rPr>
        <w:t>保存</w:t>
      </w:r>
      <w:r>
        <w:rPr>
          <w:rFonts w:hint="eastAsia" w:ascii="宋体" w:hAnsi="宋体"/>
        </w:rPr>
        <w:t>】，继续填写供苗单位的亲本信息。请按基本信息页面填写的供苗种类依次填写每个种类的亲本情况，每填写完成一个种类的亲本情况请点击【</w:t>
      </w:r>
      <w:r>
        <w:rPr>
          <w:rFonts w:hint="eastAsia"/>
        </w:rPr>
        <w:t>保存</w:t>
      </w:r>
      <w:r>
        <w:rPr>
          <w:rFonts w:hint="eastAsia" w:ascii="宋体" w:hAnsi="宋体"/>
        </w:rPr>
        <w:t>】，继续填写下一个种类的亲本情况，全部种类的亲本情况填写完成后请点击【</w:t>
      </w:r>
      <w:r>
        <w:rPr>
          <w:rFonts w:hint="eastAsia"/>
        </w:rPr>
        <w:t>添加供苗能力</w:t>
      </w:r>
      <w:r>
        <w:rPr>
          <w:rFonts w:hint="eastAsia" w:ascii="宋体" w:hAnsi="宋体"/>
        </w:rPr>
        <w:t>】。按照亲本情况的填写方法全部填写完成供苗能力情况后请点击【</w:t>
      </w:r>
      <w:r>
        <w:rPr>
          <w:rFonts w:hint="eastAsia"/>
        </w:rPr>
        <w:t>添加供苗任务</w:t>
      </w:r>
      <w:r>
        <w:rPr>
          <w:rFonts w:hint="eastAsia" w:ascii="宋体" w:hAnsi="宋体"/>
        </w:rPr>
        <w:t>】，继续填写每一个种类的年度增殖放流情况。按照亲本情况的填写方法全部填写完成供苗任务情况后请点击【</w:t>
      </w:r>
      <w:r>
        <w:rPr>
          <w:rFonts w:hint="eastAsia"/>
        </w:rPr>
        <w:t>结束填写</w:t>
      </w:r>
      <w:r>
        <w:rPr>
          <w:rFonts w:hint="eastAsia" w:ascii="宋体" w:hAnsi="宋体"/>
        </w:rPr>
        <w:t>】即完成全部供苗单位信息的填写，出现供苗单位信息修改审核页面，点击【</w:t>
      </w:r>
      <w:r>
        <w:rPr>
          <w:rFonts w:hint="eastAsia"/>
        </w:rPr>
        <w:t>审核通过</w:t>
      </w:r>
      <w:r>
        <w:rPr>
          <w:rFonts w:hint="eastAsia" w:ascii="宋体" w:hAnsi="宋体"/>
        </w:rPr>
        <w:t>】即审核通过供苗单位。</w:t>
      </w:r>
      <w:r>
        <w:rPr>
          <w:rFonts w:hint="eastAsia" w:ascii="宋体" w:hAnsi="宋体"/>
          <w:b/>
        </w:rPr>
        <w:t>注意：填写完成基本信息并保存后，该供苗单位即可在</w:t>
      </w:r>
      <w:r>
        <w:rPr>
          <w:rFonts w:hint="eastAsia" w:ascii="宋体" w:hAnsi="宋体"/>
          <w:b/>
          <w:szCs w:val="21"/>
        </w:rPr>
        <w:t>供苗单位基础数据库中检索到。</w:t>
      </w:r>
    </w:p>
    <w:p>
      <w:pPr>
        <w:widowControl/>
        <w:spacing w:line="360" w:lineRule="auto"/>
        <w:ind w:firstLine="413" w:firstLineChars="196"/>
        <w:rPr>
          <w:rFonts w:ascii="宋体"/>
          <w:b/>
        </w:rPr>
      </w:pPr>
      <w:r>
        <w:rPr>
          <w:rFonts w:ascii="宋体" w:hAnsi="宋体"/>
          <w:b/>
          <w:color w:val="000000"/>
          <w:szCs w:val="21"/>
        </w:rPr>
        <w:t>2</w:t>
      </w:r>
      <w:r>
        <w:rPr>
          <w:rFonts w:ascii="宋体"/>
          <w:b/>
          <w:color w:val="000000"/>
          <w:szCs w:val="21"/>
        </w:rPr>
        <w:t>.</w:t>
      </w:r>
      <w:r>
        <w:rPr>
          <w:rFonts w:hint="eastAsia" w:ascii="宋体" w:hAnsi="宋体"/>
          <w:b/>
          <w:color w:val="000000"/>
          <w:szCs w:val="21"/>
        </w:rPr>
        <w:t>中央财政增殖放流供苗单位列表。</w:t>
      </w:r>
      <w:r>
        <w:rPr>
          <w:rFonts w:hint="eastAsia"/>
        </w:rPr>
        <w:t>点击</w:t>
      </w:r>
      <w:r>
        <w:rPr>
          <w:rFonts w:hint="eastAsia" w:ascii="宋体" w:hAnsi="宋体"/>
        </w:rPr>
        <w:t>【中央财政增殖放流供苗单位列表】，选择所属年份再点击【检索】，</w:t>
      </w:r>
      <w:r>
        <w:rPr>
          <w:rFonts w:hint="eastAsia"/>
        </w:rPr>
        <w:t>右边显示区会出现选择年度本区域承担中央财政项目的增殖放流供苗的具体列表。注意</w:t>
      </w:r>
      <w:r>
        <w:rPr>
          <w:rFonts w:hint="eastAsia"/>
          <w:b/>
        </w:rPr>
        <w:t>：只要在增殖放流基础数据统计表中资金来源中央投资栏填写大于</w:t>
      </w:r>
      <w:r>
        <w:rPr>
          <w:b/>
        </w:rPr>
        <w:t>0</w:t>
      </w:r>
      <w:r>
        <w:rPr>
          <w:rFonts w:hint="eastAsia"/>
          <w:b/>
        </w:rPr>
        <w:t>的金额，则本次增殖放流活动的填写的供苗单位即为</w:t>
      </w:r>
      <w:r>
        <w:rPr>
          <w:rFonts w:hint="eastAsia" w:ascii="宋体" w:hAnsi="宋体"/>
          <w:b/>
        </w:rPr>
        <w:t>中央财政增殖放流供苗单位，相关供苗单位信息将自动汇总至此列表。</w:t>
      </w:r>
    </w:p>
    <w:p>
      <w:pPr>
        <w:widowControl/>
        <w:spacing w:line="360" w:lineRule="auto"/>
        <w:ind w:firstLine="413" w:firstLineChars="196"/>
        <w:rPr>
          <w:rFonts w:ascii="宋体"/>
        </w:rPr>
      </w:pPr>
      <w:r>
        <w:rPr>
          <w:rFonts w:ascii="宋体" w:hAnsi="宋体"/>
          <w:b/>
        </w:rPr>
        <w:t>3.</w:t>
      </w:r>
      <w:r>
        <w:rPr>
          <w:rFonts w:hint="eastAsia" w:ascii="宋体" w:hAnsi="宋体"/>
          <w:b/>
        </w:rPr>
        <w:t>单位评价列表。</w:t>
      </w:r>
      <w:r>
        <w:rPr>
          <w:rFonts w:hint="eastAsia"/>
        </w:rPr>
        <w:t>点击</w:t>
      </w:r>
      <w:r>
        <w:rPr>
          <w:rFonts w:hint="eastAsia" w:ascii="宋体" w:hAnsi="宋体"/>
        </w:rPr>
        <w:t>【</w:t>
      </w:r>
      <w:r>
        <w:rPr>
          <w:rFonts w:hint="eastAsia"/>
        </w:rPr>
        <w:t>单位评价列表</w:t>
      </w:r>
      <w:r>
        <w:rPr>
          <w:rFonts w:hint="eastAsia" w:ascii="宋体" w:hAnsi="宋体"/>
        </w:rPr>
        <w:t>】，打开评价单位管理列表后再点击最右侧操作栏中的【审核】按钮</w:t>
      </w:r>
      <w:r>
        <w:rPr>
          <w:rFonts w:hint="eastAsia"/>
        </w:rPr>
        <w:t>对本行政区域内需要评价的供苗单位进行审核，点击【提交】后即提交农业农村部进行备案（见图</w:t>
      </w:r>
      <w:r>
        <w:t>9</w:t>
      </w:r>
      <w:r>
        <w:rPr>
          <w:rFonts w:hint="eastAsia"/>
        </w:rPr>
        <w:t>）。注意：</w:t>
      </w:r>
      <w:r>
        <w:rPr>
          <w:rFonts w:hint="eastAsia" w:ascii="宋体" w:hAnsi="宋体"/>
        </w:rPr>
        <w:t>单位评价审核也可在【单位管理】</w:t>
      </w:r>
      <w:r>
        <w:rPr>
          <w:rFonts w:ascii="宋体"/>
        </w:rPr>
        <w:t>-</w:t>
      </w:r>
      <w:r>
        <w:rPr>
          <w:rFonts w:hint="eastAsia" w:ascii="宋体" w:hAnsi="宋体"/>
        </w:rPr>
        <w:t>【信用管理】中进行操作。</w:t>
      </w:r>
    </w:p>
    <w:p>
      <w:pPr>
        <w:widowControl/>
        <w:spacing w:line="360" w:lineRule="auto"/>
        <w:jc w:val="center"/>
      </w:pPr>
      <w:r>
        <w:rPr>
          <w:rFonts w:hint="eastAsia"/>
        </w:rPr>
        <w:drawing>
          <wp:inline distT="0" distB="0" distL="114300" distR="114300">
            <wp:extent cx="5151755" cy="1426845"/>
            <wp:effectExtent l="0" t="0" r="10795" b="1905"/>
            <wp:docPr id="29" name="图片 9" descr="单位评价列表界面-审核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单位评价列表界面-审核入口"/>
                    <pic:cNvPicPr>
                      <a:picLocks noChangeAspect="1"/>
                    </pic:cNvPicPr>
                  </pic:nvPicPr>
                  <pic:blipFill>
                    <a:blip r:embed="rId13"/>
                    <a:stretch>
                      <a:fillRect/>
                    </a:stretch>
                  </pic:blipFill>
                  <pic:spPr>
                    <a:xfrm>
                      <a:off x="0" y="0"/>
                      <a:ext cx="5151755" cy="1426845"/>
                    </a:xfrm>
                    <a:prstGeom prst="rect">
                      <a:avLst/>
                    </a:prstGeom>
                    <a:noFill/>
                    <a:ln>
                      <a:noFill/>
                    </a:ln>
                  </pic:spPr>
                </pic:pic>
              </a:graphicData>
            </a:graphic>
          </wp:inline>
        </w:drawing>
      </w:r>
    </w:p>
    <w:p>
      <w:pPr>
        <w:widowControl/>
        <w:spacing w:line="360" w:lineRule="auto"/>
        <w:jc w:val="center"/>
      </w:pPr>
      <w:r>
        <w:rPr>
          <w:rFonts w:hint="eastAsia" w:ascii="宋体" w:hAnsi="宋体"/>
        </w:rPr>
        <w:t>图</w:t>
      </w:r>
      <w:r>
        <w:rPr>
          <w:rFonts w:ascii="宋体" w:hAnsi="宋体"/>
        </w:rPr>
        <w:t xml:space="preserve">9 </w:t>
      </w:r>
      <w:r>
        <w:rPr>
          <w:rFonts w:hint="eastAsia"/>
        </w:rPr>
        <w:t>增殖放流供苗单位评价管理界面</w:t>
      </w:r>
    </w:p>
    <w:p>
      <w:pPr>
        <w:spacing w:line="360" w:lineRule="auto"/>
        <w:ind w:firstLine="422" w:firstLineChars="200"/>
        <w:rPr>
          <w:rFonts w:ascii="楷体_GB2312" w:hAnsi="宋体" w:eastAsia="楷体_GB2312"/>
          <w:b/>
        </w:rPr>
      </w:pPr>
      <w:r>
        <w:rPr>
          <w:rFonts w:hint="eastAsia" w:ascii="楷体_GB2312" w:hAnsi="宋体" w:eastAsia="楷体_GB2312"/>
          <w:b/>
        </w:rPr>
        <w:t>（五）</w:t>
      </w:r>
      <w:r>
        <w:fldChar w:fldCharType="begin"/>
      </w:r>
      <w:r>
        <w:instrText xml:space="preserve"> HYPERLINK "http://localhost:4572/DataCenter/Sheet_State.aspx" </w:instrText>
      </w:r>
      <w:r>
        <w:fldChar w:fldCharType="separate"/>
      </w:r>
      <w:r>
        <w:rPr>
          <w:rFonts w:hint="eastAsia" w:ascii="楷体_GB2312" w:hAnsi="宋体" w:eastAsia="楷体_GB2312"/>
          <w:b/>
        </w:rPr>
        <w:t>汇总导出</w:t>
      </w:r>
      <w:r>
        <w:rPr>
          <w:rFonts w:hint="eastAsia" w:ascii="楷体_GB2312" w:hAnsi="宋体" w:eastAsia="楷体_GB2312"/>
          <w:b/>
        </w:rPr>
        <w:fldChar w:fldCharType="end"/>
      </w:r>
    </w:p>
    <w:p>
      <w:pPr>
        <w:spacing w:line="360" w:lineRule="auto"/>
        <w:ind w:firstLine="420" w:firstLineChars="200"/>
        <w:rPr>
          <w:rFonts w:ascii="宋体"/>
        </w:rPr>
      </w:pPr>
      <w:r>
        <w:rPr>
          <w:rFonts w:hint="eastAsia" w:ascii="宋体" w:hAnsi="宋体"/>
          <w:szCs w:val="21"/>
        </w:rPr>
        <w:t>通过</w:t>
      </w:r>
      <w:r>
        <w:rPr>
          <w:rFonts w:hint="eastAsia" w:ascii="宋体" w:hAnsi="宋体"/>
        </w:rPr>
        <w:t>【</w:t>
      </w:r>
      <w:r>
        <w:rPr>
          <w:rFonts w:hint="eastAsia"/>
        </w:rPr>
        <w:t>汇总</w:t>
      </w:r>
      <w:r>
        <w:rPr>
          <w:rFonts w:hint="eastAsia" w:ascii="宋体" w:hAnsi="宋体"/>
        </w:rPr>
        <w:t>】和【</w:t>
      </w:r>
      <w:r>
        <w:rPr>
          <w:rFonts w:hint="eastAsia"/>
        </w:rPr>
        <w:t>导出为</w:t>
      </w:r>
      <w:r>
        <w:t>EXCEL</w:t>
      </w:r>
      <w:r>
        <w:rPr>
          <w:rFonts w:hint="eastAsia" w:ascii="宋体" w:hAnsi="宋体"/>
        </w:rPr>
        <w:t>】功能</w:t>
      </w:r>
      <w:r>
        <w:rPr>
          <w:rFonts w:hint="eastAsia" w:ascii="宋体" w:hAnsi="宋体"/>
          <w:szCs w:val="21"/>
        </w:rPr>
        <w:t>可以汇总导出本行政区域内《渔业资源保护和转产转业项目执行情况统计表》、《海洋生物资源增殖放流统计表》、《淡水物种增殖放流统计表》、《珍稀濒危水生野生动物增殖放流统计表》、《水生生物增殖放流基础数据统计表》、《渔业污染事故情况调查统计表》、《渔业生态环境影响评价工作情况调查统计表》、《禁渔区和禁渔期制度实施情况统计表》、《新建自然保护区和水产种质资源保护区情况调查统计表》、《濒危物种专项救护情况调查统计表》、《人工鱼礁（巢）和海洋牧场及示范区建设情况统计表》、、《年度增殖放流供苗单位汇总表》、《年度增殖放流供苗单位违规情况统计表》等</w:t>
      </w:r>
      <w:r>
        <w:rPr>
          <w:rFonts w:ascii="宋体" w:hAnsi="宋体"/>
          <w:szCs w:val="21"/>
        </w:rPr>
        <w:t>13</w:t>
      </w:r>
      <w:r>
        <w:rPr>
          <w:rFonts w:hint="eastAsia" w:ascii="宋体" w:hAnsi="宋体"/>
          <w:szCs w:val="21"/>
        </w:rPr>
        <w:t>个统计表。</w:t>
      </w:r>
      <w:r>
        <w:rPr>
          <w:rFonts w:hint="eastAsia" w:ascii="宋体" w:hAnsi="宋体"/>
        </w:rPr>
        <w:t>省级管理员审核完成各子单位的资源养护基础报表后，可以通过系统汇总导出功能导出</w:t>
      </w:r>
      <w:r>
        <w:rPr>
          <w:rFonts w:ascii="宋体" w:hAnsi="宋体"/>
        </w:rPr>
        <w:t>13</w:t>
      </w:r>
      <w:r>
        <w:rPr>
          <w:rFonts w:hint="eastAsia" w:ascii="宋体" w:hAnsi="宋体"/>
        </w:rPr>
        <w:t>个统计报表，连同相关总结材料签字盖章后以正式文件方式报送农业农村部。</w:t>
      </w:r>
    </w:p>
    <w:p>
      <w:pPr>
        <w:spacing w:line="360" w:lineRule="auto"/>
        <w:ind w:firstLine="422" w:firstLineChars="200"/>
        <w:rPr>
          <w:rFonts w:ascii="楷体_GB2312" w:hAnsi="宋体" w:eastAsia="楷体_GB2312"/>
          <w:b/>
        </w:rPr>
      </w:pPr>
      <w:r>
        <w:rPr>
          <w:rFonts w:hint="eastAsia" w:ascii="楷体_GB2312" w:hAnsi="宋体" w:eastAsia="楷体_GB2312"/>
          <w:b/>
        </w:rPr>
        <w:t>（六）汇总分析</w:t>
      </w:r>
    </w:p>
    <w:p>
      <w:pPr>
        <w:tabs>
          <w:tab w:val="left" w:pos="3585"/>
          <w:tab w:val="center" w:pos="4153"/>
          <w:tab w:val="left" w:pos="5205"/>
        </w:tabs>
        <w:spacing w:line="360" w:lineRule="auto"/>
        <w:ind w:firstLine="480"/>
        <w:jc w:val="left"/>
        <w:rPr>
          <w:rFonts w:ascii="宋体"/>
          <w:szCs w:val="21"/>
        </w:rPr>
      </w:pPr>
      <w:r>
        <w:rPr>
          <w:rFonts w:hint="eastAsia" w:ascii="宋体" w:hAnsi="宋体"/>
          <w:szCs w:val="21"/>
        </w:rPr>
        <w:t>该栏目包括汇总导出本行政区域内《中央财政农业资源及生态保护补助项目增殖放流情况汇总分析表》《各地区增殖放流关键数据汇总分析表》、《各水域增殖放流关键数据汇总分析表》、《海洋生物增殖放流物种统计表》、《淡水广布种增殖放流物种统计表》、《淡水区域种增殖放流物种统计表》、《濒危生物增殖放流物种统计表》、《增殖放流供苗单位各品种亲本情况汇总分析表》，《增殖放流供苗单位各品种供苗能力汇总分析表》、《各区域增殖放流水域面积汇总分析表》等</w:t>
      </w:r>
      <w:r>
        <w:rPr>
          <w:rFonts w:ascii="宋体" w:hAnsi="宋体"/>
          <w:szCs w:val="21"/>
        </w:rPr>
        <w:t>10</w:t>
      </w:r>
      <w:r>
        <w:rPr>
          <w:rFonts w:hint="eastAsia" w:ascii="宋体" w:hAnsi="宋体"/>
          <w:szCs w:val="21"/>
        </w:rPr>
        <w:t>个统计表的功能。这</w:t>
      </w:r>
      <w:r>
        <w:rPr>
          <w:rFonts w:ascii="宋体" w:hAnsi="宋体"/>
          <w:szCs w:val="21"/>
        </w:rPr>
        <w:t>10</w:t>
      </w:r>
      <w:r>
        <w:rPr>
          <w:rFonts w:hint="eastAsia" w:ascii="宋体" w:hAnsi="宋体"/>
          <w:szCs w:val="21"/>
        </w:rPr>
        <w:t>个统计表主要是对资源养护相关工作情况进行整理汇总，重点突出在增殖放流基础数据和供苗管理方面进行深入分析，为相关工作的科学规范开展提供参考。</w:t>
      </w:r>
    </w:p>
    <w:p>
      <w:pPr>
        <w:spacing w:line="360" w:lineRule="auto"/>
        <w:ind w:firstLine="420" w:firstLineChars="200"/>
        <w:rPr>
          <w:rFonts w:ascii="黑体" w:hAnsi="宋体" w:eastAsia="黑体"/>
        </w:rPr>
      </w:pPr>
      <w:r>
        <w:rPr>
          <w:rFonts w:hint="eastAsia" w:ascii="黑体" w:hAnsi="宋体" w:eastAsia="黑体"/>
          <w:color w:val="000000"/>
          <w:szCs w:val="21"/>
        </w:rPr>
        <w:t>三、</w:t>
      </w:r>
      <w:r>
        <w:rPr>
          <w:rFonts w:hint="eastAsia" w:ascii="黑体" w:hAnsi="宋体" w:eastAsia="黑体"/>
        </w:rPr>
        <w:t>地市级管理员操作说明</w:t>
      </w:r>
    </w:p>
    <w:p>
      <w:pPr>
        <w:spacing w:line="360" w:lineRule="auto"/>
        <w:ind w:firstLine="422" w:firstLineChars="200"/>
        <w:rPr>
          <w:rFonts w:ascii="楷体_GB2312" w:hAnsi="宋体" w:eastAsia="楷体_GB2312"/>
          <w:color w:val="000000"/>
          <w:szCs w:val="21"/>
        </w:rPr>
      </w:pPr>
      <w:r>
        <w:rPr>
          <w:rFonts w:hint="eastAsia" w:ascii="楷体_GB2312" w:hAnsi="宋体" w:eastAsia="楷体_GB2312"/>
          <w:b/>
        </w:rPr>
        <w:t>（一）系统设置</w:t>
      </w:r>
    </w:p>
    <w:p>
      <w:pPr>
        <w:spacing w:line="360" w:lineRule="auto"/>
        <w:ind w:firstLine="420" w:firstLineChars="200"/>
      </w:pPr>
      <w:r>
        <w:rPr>
          <w:rFonts w:hint="eastAsia" w:ascii="宋体" w:hAnsi="宋体"/>
        </w:rPr>
        <w:t>地市级管理员为区县级管理员和地市本级用户分配用户账号、填报报表、放流物种以及放流地点。</w:t>
      </w:r>
      <w:r>
        <w:rPr>
          <w:rFonts w:hint="eastAsia"/>
        </w:rPr>
        <w:t>地市级管理员分配填报报表、放流物种、放流地点的操作方法同省级管理员。</w:t>
      </w:r>
    </w:p>
    <w:p>
      <w:pPr>
        <w:spacing w:line="360" w:lineRule="auto"/>
        <w:ind w:firstLine="422" w:firstLineChars="200"/>
      </w:pPr>
      <w:r>
        <w:rPr>
          <w:rFonts w:hint="eastAsia" w:ascii="楷体_GB2312" w:hAnsi="宋体" w:eastAsia="楷体_GB2312"/>
          <w:b/>
        </w:rPr>
        <w:t>（二）用户信息</w:t>
      </w:r>
    </w:p>
    <w:p>
      <w:pPr>
        <w:pStyle w:val="9"/>
        <w:spacing w:line="360" w:lineRule="auto"/>
        <w:ind w:firstLineChars="0"/>
      </w:pPr>
      <w:r>
        <w:rPr>
          <w:rFonts w:hint="eastAsia"/>
        </w:rPr>
        <w:t>操作方法同省级管理员。用户信息报送栏目请地市级管理员认真填写该项信息，以便相关工作开展。</w:t>
      </w:r>
    </w:p>
    <w:p>
      <w:pPr>
        <w:spacing w:line="360" w:lineRule="auto"/>
        <w:ind w:firstLine="422" w:firstLineChars="200"/>
        <w:rPr>
          <w:rFonts w:ascii="楷体_GB2312" w:hAnsi="宋体" w:eastAsia="楷体_GB2312"/>
          <w:b/>
        </w:rPr>
      </w:pPr>
      <w:r>
        <w:rPr>
          <w:rFonts w:hint="eastAsia" w:ascii="楷体_GB2312" w:hAnsi="宋体" w:eastAsia="楷体_GB2312"/>
          <w:b/>
        </w:rPr>
        <w:t>（三）</w:t>
      </w:r>
      <w:r>
        <w:fldChar w:fldCharType="begin"/>
      </w:r>
      <w:r>
        <w:instrText xml:space="preserve"> HYPERLINK "http://localhost:4572/DataCenter/Sheet_State.aspx" </w:instrText>
      </w:r>
      <w:r>
        <w:fldChar w:fldCharType="separate"/>
      </w:r>
      <w:r>
        <w:rPr>
          <w:rFonts w:hint="eastAsia" w:ascii="楷体_GB2312" w:hAnsi="宋体" w:eastAsia="楷体_GB2312"/>
          <w:b/>
        </w:rPr>
        <w:t>资源养护信息采集</w:t>
      </w:r>
      <w:r>
        <w:rPr>
          <w:rFonts w:hint="eastAsia" w:ascii="楷体_GB2312" w:hAnsi="宋体" w:eastAsia="楷体_GB2312"/>
          <w:b/>
        </w:rPr>
        <w:fldChar w:fldCharType="end"/>
      </w:r>
    </w:p>
    <w:p>
      <w:pPr>
        <w:spacing w:line="360" w:lineRule="auto"/>
        <w:ind w:firstLine="422" w:firstLineChars="200"/>
      </w:pPr>
      <w:r>
        <w:rPr>
          <w:rFonts w:ascii="宋体" w:hAnsi="宋体"/>
          <w:b/>
          <w:color w:val="000000"/>
          <w:szCs w:val="21"/>
        </w:rPr>
        <w:t>1.</w:t>
      </w:r>
      <w:r>
        <w:rPr>
          <w:rFonts w:hint="eastAsia" w:ascii="宋体" w:hAnsi="宋体"/>
          <w:b/>
          <w:color w:val="000000"/>
          <w:szCs w:val="21"/>
        </w:rPr>
        <w:t>报表查看审核。</w:t>
      </w:r>
      <w:r>
        <w:rPr>
          <w:rFonts w:hint="eastAsia"/>
        </w:rPr>
        <w:t>选择报送年份、报表点击查看，可看到下一级的报送进展。点击“查看数据”按钮，可直接看到报送的数据，进行相应的操作，通过审核或驳回，操作方法同省级管理员。</w:t>
      </w:r>
    </w:p>
    <w:p>
      <w:pPr>
        <w:spacing w:line="360" w:lineRule="auto"/>
        <w:ind w:firstLine="422" w:firstLineChars="200"/>
      </w:pPr>
      <w:r>
        <w:rPr>
          <w:b/>
        </w:rPr>
        <w:t>2.</w:t>
      </w:r>
      <w:r>
        <w:rPr>
          <w:rFonts w:hint="eastAsia"/>
          <w:b/>
          <w:bCs/>
        </w:rPr>
        <w:t>需要审核报表。</w:t>
      </w:r>
      <w:r>
        <w:rPr>
          <w:rFonts w:hint="eastAsia"/>
        </w:rPr>
        <w:t>操作方法同省级管理员。</w:t>
      </w:r>
    </w:p>
    <w:p>
      <w:pPr>
        <w:spacing w:line="360" w:lineRule="auto"/>
        <w:ind w:firstLine="422" w:firstLineChars="200"/>
      </w:pPr>
      <w:r>
        <w:rPr>
          <w:b/>
        </w:rPr>
        <w:t>3.</w:t>
      </w:r>
      <w:r>
        <w:rPr>
          <w:rFonts w:hint="eastAsia"/>
          <w:b/>
          <w:bCs/>
        </w:rPr>
        <w:t>需要驳回报表。</w:t>
      </w:r>
      <w:r>
        <w:rPr>
          <w:rFonts w:hint="eastAsia"/>
        </w:rPr>
        <w:t>操作方法同省级管理员。</w:t>
      </w:r>
    </w:p>
    <w:p>
      <w:pPr>
        <w:spacing w:line="360" w:lineRule="auto"/>
        <w:ind w:firstLine="422" w:firstLineChars="200"/>
        <w:rPr>
          <w:rFonts w:ascii="楷体_GB2312" w:hAnsi="宋体" w:eastAsia="楷体_GB2312"/>
          <w:b/>
        </w:rPr>
      </w:pPr>
      <w:r>
        <w:rPr>
          <w:rFonts w:hint="eastAsia" w:ascii="楷体_GB2312" w:hAnsi="宋体" w:eastAsia="楷体_GB2312"/>
          <w:b/>
        </w:rPr>
        <w:t>（四）</w:t>
      </w:r>
      <w:r>
        <w:fldChar w:fldCharType="begin"/>
      </w:r>
      <w:r>
        <w:instrText xml:space="preserve"> HYPERLINK "http://localhost:4572/DataCenter/Sheet_State.aspx" </w:instrText>
      </w:r>
      <w:r>
        <w:fldChar w:fldCharType="separate"/>
      </w:r>
      <w:r>
        <w:rPr>
          <w:rFonts w:hint="eastAsia" w:ascii="楷体_GB2312" w:hAnsi="宋体" w:eastAsia="楷体_GB2312"/>
          <w:b/>
        </w:rPr>
        <w:t>供苗单位信息</w:t>
      </w:r>
      <w:r>
        <w:rPr>
          <w:rFonts w:hint="eastAsia" w:ascii="楷体_GB2312" w:hAnsi="宋体" w:eastAsia="楷体_GB2312"/>
          <w:b/>
        </w:rPr>
        <w:fldChar w:fldCharType="end"/>
      </w:r>
    </w:p>
    <w:p>
      <w:pPr>
        <w:spacing w:line="360" w:lineRule="auto"/>
        <w:ind w:firstLine="525" w:firstLineChars="250"/>
      </w:pPr>
      <w:r>
        <w:rPr>
          <w:rFonts w:hint="eastAsia"/>
        </w:rPr>
        <w:t>操作方法同省级管理员。</w:t>
      </w:r>
    </w:p>
    <w:p>
      <w:pPr>
        <w:spacing w:line="360" w:lineRule="auto"/>
        <w:ind w:firstLine="422" w:firstLineChars="200"/>
        <w:rPr>
          <w:rFonts w:ascii="楷体_GB2312" w:hAnsi="宋体" w:eastAsia="楷体_GB2312"/>
          <w:b/>
        </w:rPr>
      </w:pPr>
      <w:r>
        <w:rPr>
          <w:rFonts w:hint="eastAsia" w:ascii="楷体_GB2312" w:hAnsi="宋体" w:eastAsia="楷体_GB2312"/>
          <w:b/>
        </w:rPr>
        <w:t>（五）</w:t>
      </w:r>
      <w:r>
        <w:fldChar w:fldCharType="begin"/>
      </w:r>
      <w:r>
        <w:instrText xml:space="preserve"> HYPERLINK "http://localhost:4572/DataCenter/Sheet_State.aspx" </w:instrText>
      </w:r>
      <w:r>
        <w:fldChar w:fldCharType="separate"/>
      </w:r>
      <w:r>
        <w:rPr>
          <w:rFonts w:hint="eastAsia" w:ascii="楷体_GB2312" w:hAnsi="宋体" w:eastAsia="楷体_GB2312"/>
          <w:b/>
        </w:rPr>
        <w:t>汇总导出</w:t>
      </w:r>
      <w:r>
        <w:rPr>
          <w:rFonts w:hint="eastAsia" w:ascii="楷体_GB2312" w:hAnsi="宋体" w:eastAsia="楷体_GB2312"/>
          <w:b/>
        </w:rPr>
        <w:fldChar w:fldCharType="end"/>
      </w:r>
    </w:p>
    <w:p>
      <w:pPr>
        <w:spacing w:line="360" w:lineRule="auto"/>
        <w:ind w:firstLine="525" w:firstLineChars="250"/>
        <w:rPr>
          <w:rFonts w:ascii="宋体"/>
        </w:rPr>
      </w:pPr>
      <w:r>
        <w:rPr>
          <w:rFonts w:hint="eastAsia"/>
        </w:rPr>
        <w:t>操作方法同省级管理员。</w:t>
      </w:r>
      <w:r>
        <w:rPr>
          <w:rFonts w:hint="eastAsia" w:ascii="宋体" w:hAnsi="宋体"/>
        </w:rPr>
        <w:t>地市级管理员审核完成各子单位的资源养护基础报表后，可以通过系统汇总导出功能导出</w:t>
      </w:r>
      <w:r>
        <w:rPr>
          <w:rFonts w:ascii="宋体" w:hAnsi="宋体"/>
        </w:rPr>
        <w:t>13</w:t>
      </w:r>
      <w:r>
        <w:rPr>
          <w:rFonts w:hint="eastAsia" w:ascii="宋体" w:hAnsi="宋体"/>
        </w:rPr>
        <w:t>个统计报表，连同相关总结材料签字盖章后以正式文件方式报送上级单位。</w:t>
      </w:r>
    </w:p>
    <w:p>
      <w:pPr>
        <w:spacing w:line="360" w:lineRule="auto"/>
        <w:ind w:firstLine="422" w:firstLineChars="200"/>
        <w:rPr>
          <w:rFonts w:ascii="楷体_GB2312" w:hAnsi="宋体" w:eastAsia="楷体_GB2312"/>
          <w:b/>
        </w:rPr>
      </w:pPr>
      <w:r>
        <w:rPr>
          <w:rFonts w:hint="eastAsia" w:ascii="楷体_GB2312" w:hAnsi="宋体" w:eastAsia="楷体_GB2312"/>
          <w:b/>
        </w:rPr>
        <w:t>（六）汇总分析</w:t>
      </w:r>
    </w:p>
    <w:p>
      <w:pPr>
        <w:spacing w:line="360" w:lineRule="auto"/>
        <w:ind w:firstLine="420" w:firstLineChars="200"/>
      </w:pPr>
      <w:r>
        <w:rPr>
          <w:rFonts w:hint="eastAsia"/>
        </w:rPr>
        <w:t>操作方法同省级管理员。</w:t>
      </w:r>
    </w:p>
    <w:p>
      <w:pPr>
        <w:spacing w:line="360" w:lineRule="auto"/>
        <w:ind w:firstLine="420" w:firstLineChars="200"/>
        <w:rPr>
          <w:rFonts w:ascii="黑体" w:hAnsi="宋体" w:eastAsia="黑体"/>
          <w:color w:val="000000"/>
          <w:szCs w:val="21"/>
        </w:rPr>
      </w:pPr>
      <w:r>
        <w:rPr>
          <w:rFonts w:hint="eastAsia" w:ascii="黑体" w:hAnsi="宋体" w:eastAsia="黑体"/>
          <w:color w:val="000000"/>
          <w:szCs w:val="21"/>
        </w:rPr>
        <w:t>四、报表填报用户操作说明</w:t>
      </w:r>
    </w:p>
    <w:p>
      <w:pPr>
        <w:spacing w:line="360" w:lineRule="auto"/>
        <w:ind w:firstLine="420" w:firstLineChars="200"/>
        <w:rPr>
          <w:rFonts w:ascii="宋体"/>
          <w:szCs w:val="21"/>
        </w:rPr>
      </w:pPr>
      <w:r>
        <w:rPr>
          <w:rFonts w:hint="eastAsia" w:ascii="宋体" w:hAnsi="宋体"/>
        </w:rPr>
        <w:t>报表填报用户包括区县级用户、部直属用户、省本级用户、地市本级用户。报表填报用户在上级单位分配用户账号、填报报表、放流物种以及放流地点后即可进行信息填报。</w:t>
      </w:r>
    </w:p>
    <w:p>
      <w:pPr>
        <w:spacing w:line="360" w:lineRule="auto"/>
        <w:ind w:firstLine="422" w:firstLineChars="200"/>
      </w:pPr>
      <w:r>
        <w:rPr>
          <w:rFonts w:hint="eastAsia" w:ascii="楷体_GB2312" w:hAnsi="宋体" w:eastAsia="楷体_GB2312"/>
          <w:b/>
        </w:rPr>
        <w:t>（一）用户信息</w:t>
      </w:r>
    </w:p>
    <w:p>
      <w:pPr>
        <w:pStyle w:val="9"/>
        <w:spacing w:line="360" w:lineRule="auto"/>
        <w:ind w:firstLineChars="0"/>
      </w:pPr>
      <w:r>
        <w:rPr>
          <w:rFonts w:hint="eastAsia"/>
        </w:rPr>
        <w:t>操作方法同省级管理员。用户信息报送栏请报表填报用户认真填写该项信息，以便相关工作开展。</w:t>
      </w:r>
    </w:p>
    <w:p>
      <w:pPr>
        <w:spacing w:line="360" w:lineRule="auto"/>
        <w:ind w:firstLine="422" w:firstLineChars="200"/>
        <w:rPr>
          <w:rFonts w:ascii="楷体_GB2312" w:hAnsi="宋体" w:eastAsia="楷体_GB2312"/>
          <w:b/>
        </w:rPr>
      </w:pPr>
      <w:r>
        <w:rPr>
          <w:rFonts w:hint="eastAsia" w:ascii="楷体_GB2312" w:hAnsi="宋体" w:eastAsia="楷体_GB2312"/>
          <w:b/>
        </w:rPr>
        <w:t>（二）资源养护信息采集</w:t>
      </w:r>
    </w:p>
    <w:p>
      <w:pPr>
        <w:tabs>
          <w:tab w:val="left" w:pos="3585"/>
          <w:tab w:val="center" w:pos="4153"/>
          <w:tab w:val="left" w:pos="5205"/>
        </w:tabs>
        <w:spacing w:line="360" w:lineRule="auto"/>
        <w:ind w:firstLine="480"/>
        <w:jc w:val="left"/>
        <w:rPr>
          <w:rFonts w:ascii="宋体"/>
          <w:szCs w:val="21"/>
        </w:rPr>
      </w:pPr>
      <w:r>
        <w:rPr>
          <w:rFonts w:hint="eastAsia" w:ascii="宋体" w:hAnsi="宋体"/>
          <w:szCs w:val="21"/>
        </w:rPr>
        <w:t>通过该栏目可以进行资源养护基础报表的填写和报送。</w:t>
      </w:r>
      <w:r>
        <w:rPr>
          <w:rFonts w:hint="eastAsia" w:ascii="宋体" w:hAnsi="宋体"/>
        </w:rPr>
        <w:t>报表填报用户填报完成供苗单位信息后即可开展资源养护基础报表填写。根据每一个基础报表填报页面的《填报说明》完成对应报表填写，填报完成后点击数据报送即完成基础报表的上报工作，报表填报用户根据报表分配情况最多需要填报</w:t>
      </w:r>
      <w:r>
        <w:rPr>
          <w:rFonts w:hint="eastAsia" w:ascii="宋体" w:hAnsi="宋体"/>
          <w:szCs w:val="21"/>
        </w:rPr>
        <w:t>《中央财政农业资源及生态保护补助项目增殖放流情况统计表》、《水生生物增殖放流基础数据统计表》、《人工鱼礁（巢）</w:t>
      </w:r>
      <w:r>
        <w:rPr>
          <w:rFonts w:ascii="宋体" w:hAnsi="宋体"/>
          <w:szCs w:val="21"/>
        </w:rPr>
        <w:t>/</w:t>
      </w:r>
      <w:r>
        <w:rPr>
          <w:rFonts w:hint="eastAsia" w:ascii="宋体" w:hAnsi="宋体"/>
          <w:szCs w:val="21"/>
        </w:rPr>
        <w:t>海洋牧场示范区建设情况统计表》、《禁渔区和禁渔期制度实施情况统计表》、《自然保护区和水产种质资源保护区建设情况调查表》、《濒危物种专项救护情况统计表》、《渔业水域污染事故情况调查统计表》、《渔业生态环境影响评价工作情况调查统计表》等</w:t>
      </w:r>
      <w:r>
        <w:rPr>
          <w:rFonts w:ascii="宋体" w:hAnsi="宋体"/>
        </w:rPr>
        <w:t>8</w:t>
      </w:r>
      <w:r>
        <w:rPr>
          <w:rFonts w:hint="eastAsia" w:ascii="宋体" w:hAnsi="宋体"/>
        </w:rPr>
        <w:t>个基础报表。注意：报送年份均选择本年度。登录系统后点击【</w:t>
      </w:r>
      <w:r>
        <w:rPr>
          <w:rFonts w:hint="eastAsia"/>
        </w:rPr>
        <w:t>资源养护信息采集</w:t>
      </w:r>
      <w:r>
        <w:rPr>
          <w:rFonts w:hint="eastAsia" w:ascii="宋体" w:hAnsi="宋体"/>
        </w:rPr>
        <w:t>】打开【数据报送】，选择报送年份，【点击】表栏右侧【报送】即可开始报送。</w:t>
      </w:r>
    </w:p>
    <w:p>
      <w:pPr>
        <w:tabs>
          <w:tab w:val="left" w:pos="3585"/>
          <w:tab w:val="center" w:pos="4153"/>
          <w:tab w:val="left" w:pos="5205"/>
        </w:tabs>
        <w:spacing w:line="360" w:lineRule="auto"/>
        <w:ind w:firstLine="422" w:firstLineChars="200"/>
        <w:jc w:val="left"/>
        <w:rPr>
          <w:rFonts w:ascii="宋体"/>
        </w:rPr>
      </w:pPr>
      <w:r>
        <w:rPr>
          <w:rFonts w:ascii="宋体" w:hAnsi="宋体"/>
          <w:b/>
          <w:szCs w:val="21"/>
        </w:rPr>
        <w:t>1</w:t>
      </w:r>
      <w:r>
        <w:rPr>
          <w:rFonts w:ascii="宋体"/>
          <w:b/>
          <w:szCs w:val="21"/>
        </w:rPr>
        <w:t>.</w:t>
      </w:r>
      <w:r>
        <w:rPr>
          <w:rFonts w:hint="eastAsia" w:ascii="宋体" w:hAnsi="宋体"/>
          <w:b/>
          <w:szCs w:val="21"/>
        </w:rPr>
        <w:t>《中央财政农业资源及生态保护补助项目增殖放流情况统计表》。</w:t>
      </w:r>
      <w:r>
        <w:rPr>
          <w:rFonts w:hint="eastAsia"/>
        </w:rPr>
        <w:t>报表需要根据要求填写每一项的实际金额和数量，合计数自动计算，无需填写。填写完毕审核无误后，点击</w:t>
      </w:r>
      <w:r>
        <w:rPr>
          <w:rFonts w:hint="eastAsia" w:ascii="宋体" w:hAnsi="宋体"/>
        </w:rPr>
        <w:t>【</w:t>
      </w:r>
      <w:r>
        <w:rPr>
          <w:rFonts w:hint="eastAsia"/>
        </w:rPr>
        <w:t>数据报送</w:t>
      </w:r>
      <w:r>
        <w:rPr>
          <w:rFonts w:hint="eastAsia" w:ascii="宋体" w:hAnsi="宋体"/>
        </w:rPr>
        <w:t>】</w:t>
      </w:r>
      <w:r>
        <w:rPr>
          <w:rFonts w:hint="eastAsia"/>
        </w:rPr>
        <w:t>按钮进行报送，等待上级审核即可。</w:t>
      </w:r>
      <w:r>
        <w:rPr>
          <w:rFonts w:hint="eastAsia"/>
          <w:b/>
        </w:rPr>
        <w:t>注意：</w:t>
      </w:r>
      <w:r>
        <w:rPr>
          <w:b/>
        </w:rPr>
        <w:t>“</w:t>
      </w:r>
      <w:r>
        <w:rPr>
          <w:rFonts w:hint="eastAsia"/>
          <w:b/>
        </w:rPr>
        <w:t>本年度下达资金执行情况</w:t>
      </w:r>
      <w:r>
        <w:rPr>
          <w:b/>
        </w:rPr>
        <w:t>”</w:t>
      </w:r>
      <w:r>
        <w:rPr>
          <w:rFonts w:hint="eastAsia"/>
          <w:b/>
        </w:rPr>
        <w:t>仅填写本年度下达的中央财政农业资源及生态保护补助项目资金计划和实际执行情况；“上一年度下达资金结转在本年度实际执行情况</w:t>
      </w:r>
      <w:r>
        <w:rPr>
          <w:rFonts w:hint="eastAsia" w:ascii="宋体" w:hAnsi="宋体"/>
          <w:b/>
          <w:szCs w:val="21"/>
        </w:rPr>
        <w:t>”</w:t>
      </w:r>
      <w:r>
        <w:rPr>
          <w:rFonts w:hint="eastAsia"/>
          <w:b/>
        </w:rPr>
        <w:t>仅填写上一年度下达的中央财政农业资源及生态保护补助项目结转资金在本年度实际执行情况。</w:t>
      </w:r>
    </w:p>
    <w:p>
      <w:pPr>
        <w:tabs>
          <w:tab w:val="left" w:pos="3585"/>
          <w:tab w:val="center" w:pos="4153"/>
          <w:tab w:val="left" w:pos="5205"/>
        </w:tabs>
        <w:spacing w:line="360" w:lineRule="auto"/>
        <w:ind w:firstLine="422" w:firstLineChars="200"/>
        <w:jc w:val="left"/>
        <w:rPr>
          <w:rFonts w:ascii="宋体"/>
        </w:rPr>
      </w:pPr>
      <w:r>
        <w:rPr>
          <w:rFonts w:ascii="宋体" w:hAnsi="宋体"/>
          <w:b/>
          <w:szCs w:val="21"/>
        </w:rPr>
        <w:t>2</w:t>
      </w:r>
      <w:r>
        <w:rPr>
          <w:rFonts w:ascii="宋体"/>
          <w:b/>
          <w:szCs w:val="21"/>
        </w:rPr>
        <w:t>.</w:t>
      </w:r>
      <w:r>
        <w:rPr>
          <w:rFonts w:hint="eastAsia" w:ascii="宋体" w:hAnsi="宋体"/>
          <w:b/>
          <w:szCs w:val="21"/>
        </w:rPr>
        <w:t>《水生生物增殖放流基础数据统计表》。</w:t>
      </w:r>
      <w:r>
        <w:rPr>
          <w:rFonts w:hint="eastAsia" w:ascii="宋体" w:hAnsi="宋体"/>
          <w:szCs w:val="21"/>
        </w:rPr>
        <w:t>水生生物增殖放流基础数据统计表填报主要界面</w:t>
      </w:r>
      <w:r>
        <w:rPr>
          <w:rFonts w:hint="eastAsia" w:ascii="宋体" w:hAnsi="宋体"/>
        </w:rPr>
        <w:t>，如图</w:t>
      </w:r>
      <w:r>
        <w:rPr>
          <w:rFonts w:ascii="宋体" w:hAnsi="宋体"/>
        </w:rPr>
        <w:t>10</w:t>
      </w:r>
      <w:r>
        <w:rPr>
          <w:rFonts w:hint="eastAsia" w:ascii="宋体" w:hAnsi="宋体"/>
        </w:rPr>
        <w:t>所示。</w:t>
      </w:r>
    </w:p>
    <w:p>
      <w:pPr>
        <w:tabs>
          <w:tab w:val="left" w:pos="3585"/>
          <w:tab w:val="center" w:pos="4153"/>
          <w:tab w:val="left" w:pos="5205"/>
        </w:tabs>
        <w:spacing w:line="360" w:lineRule="auto"/>
        <w:jc w:val="left"/>
      </w:pPr>
      <w:r>
        <w:rPr>
          <w:rFonts w:hint="eastAsia"/>
        </w:rPr>
        <w:drawing>
          <wp:inline distT="0" distB="0" distL="114300" distR="114300">
            <wp:extent cx="5324475" cy="1470660"/>
            <wp:effectExtent l="0" t="0" r="9525" b="1524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4"/>
                    <a:stretch>
                      <a:fillRect/>
                    </a:stretch>
                  </pic:blipFill>
                  <pic:spPr>
                    <a:xfrm>
                      <a:off x="0" y="0"/>
                      <a:ext cx="5324475" cy="1470660"/>
                    </a:xfrm>
                    <a:prstGeom prst="rect">
                      <a:avLst/>
                    </a:prstGeom>
                    <a:noFill/>
                    <a:ln>
                      <a:noFill/>
                    </a:ln>
                  </pic:spPr>
                </pic:pic>
              </a:graphicData>
            </a:graphic>
          </wp:inline>
        </w:drawing>
      </w:r>
    </w:p>
    <w:p>
      <w:pPr>
        <w:widowControl/>
        <w:spacing w:line="360" w:lineRule="auto"/>
        <w:jc w:val="center"/>
        <w:rPr>
          <w:rFonts w:ascii="宋体"/>
        </w:rPr>
      </w:pPr>
      <w:r>
        <w:rPr>
          <w:rFonts w:hint="eastAsia" w:ascii="宋体" w:hAnsi="宋体"/>
        </w:rPr>
        <w:t>图</w:t>
      </w:r>
      <w:r>
        <w:rPr>
          <w:rFonts w:ascii="宋体" w:hAnsi="宋体"/>
        </w:rPr>
        <w:t xml:space="preserve">10 </w:t>
      </w:r>
      <w:r>
        <w:rPr>
          <w:rFonts w:hint="eastAsia" w:ascii="宋体" w:hAnsi="宋体"/>
        </w:rPr>
        <w:t>《水生生物增殖放流基础数据统计表》报表填报界面</w:t>
      </w:r>
    </w:p>
    <w:p>
      <w:pPr>
        <w:spacing w:line="360" w:lineRule="auto"/>
        <w:ind w:firstLine="420" w:firstLineChars="200"/>
        <w:jc w:val="left"/>
      </w:pPr>
      <w:r>
        <w:rPr>
          <w:rFonts w:hint="eastAsia"/>
        </w:rPr>
        <w:t>如出现图</w:t>
      </w:r>
      <w:r>
        <w:t>11</w:t>
      </w:r>
      <w:r>
        <w:rPr>
          <w:rFonts w:hint="eastAsia"/>
        </w:rPr>
        <w:t>的情况则表示上级还没有为报表填报用户分配报表，请尽快联系上级单位。如果上级单位还未分配放流品种、放流地点，均会出现类似的页面弹出框，请先完成相关工作再进行填写。</w:t>
      </w:r>
    </w:p>
    <w:p>
      <w:pPr>
        <w:tabs>
          <w:tab w:val="left" w:pos="3585"/>
          <w:tab w:val="center" w:pos="4153"/>
          <w:tab w:val="left" w:pos="5205"/>
        </w:tabs>
        <w:spacing w:line="360" w:lineRule="auto"/>
        <w:jc w:val="center"/>
        <w:rPr>
          <w:rFonts w:ascii="宋体"/>
          <w:b/>
          <w:szCs w:val="21"/>
        </w:rPr>
      </w:pPr>
      <w:r>
        <w:rPr>
          <w:rFonts w:hint="eastAsia" w:ascii="宋体"/>
          <w:b/>
          <w:szCs w:val="21"/>
        </w:rPr>
        <w:drawing>
          <wp:inline distT="0" distB="0" distL="114300" distR="114300">
            <wp:extent cx="4633595" cy="1333500"/>
            <wp:effectExtent l="0" t="0" r="14605" b="0"/>
            <wp:docPr id="31" name="图片 11" descr="QQ截图2016092315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QQ截图20160923152752"/>
                    <pic:cNvPicPr>
                      <a:picLocks noChangeAspect="1"/>
                    </pic:cNvPicPr>
                  </pic:nvPicPr>
                  <pic:blipFill>
                    <a:blip r:embed="rId15"/>
                    <a:stretch>
                      <a:fillRect/>
                    </a:stretch>
                  </pic:blipFill>
                  <pic:spPr>
                    <a:xfrm>
                      <a:off x="0" y="0"/>
                      <a:ext cx="4633595" cy="1333500"/>
                    </a:xfrm>
                    <a:prstGeom prst="rect">
                      <a:avLst/>
                    </a:prstGeom>
                    <a:noFill/>
                    <a:ln>
                      <a:noFill/>
                    </a:ln>
                  </pic:spPr>
                </pic:pic>
              </a:graphicData>
            </a:graphic>
          </wp:inline>
        </w:drawing>
      </w:r>
    </w:p>
    <w:p>
      <w:pPr>
        <w:widowControl/>
        <w:spacing w:line="360" w:lineRule="auto"/>
        <w:jc w:val="center"/>
        <w:rPr>
          <w:rFonts w:ascii="宋体"/>
        </w:rPr>
      </w:pPr>
      <w:r>
        <w:rPr>
          <w:rFonts w:hint="eastAsia" w:ascii="宋体" w:hAnsi="宋体"/>
        </w:rPr>
        <w:t>图</w:t>
      </w:r>
      <w:r>
        <w:rPr>
          <w:rFonts w:ascii="宋体" w:hAnsi="宋体"/>
        </w:rPr>
        <w:t xml:space="preserve">11 </w:t>
      </w:r>
      <w:r>
        <w:rPr>
          <w:rFonts w:hint="eastAsia" w:ascii="宋体" w:hAnsi="宋体"/>
        </w:rPr>
        <w:t>《水生生物增殖放流基础数据统计表》报表填报弹出框界面</w:t>
      </w:r>
    </w:p>
    <w:p>
      <w:pPr>
        <w:ind w:firstLine="420" w:firstLineChars="200"/>
        <w:jc w:val="left"/>
      </w:pPr>
    </w:p>
    <w:p>
      <w:pPr>
        <w:spacing w:line="360" w:lineRule="auto"/>
        <w:ind w:firstLine="420" w:firstLineChars="200"/>
        <w:jc w:val="left"/>
        <w:rPr>
          <w:rFonts w:ascii="宋体"/>
          <w:b/>
          <w:color w:val="000000"/>
          <w:szCs w:val="21"/>
        </w:rPr>
      </w:pPr>
      <w:r>
        <w:rPr>
          <w:rFonts w:hint="eastAsia"/>
        </w:rPr>
        <w:t>水生生物增殖放流基础数据填报需先添加前一部分的事件，再在后面添加详细的清单，如图</w:t>
      </w:r>
      <w:r>
        <w:t>12</w:t>
      </w:r>
      <w:r>
        <w:rPr>
          <w:rFonts w:hint="eastAsia"/>
        </w:rPr>
        <w:t>所示。前半部分的放流资金不用填写，由后半部分填完后系统自动计算形成。如果一次放流活动放流两种及以上物种，请依次填写。填完一种后点击右侧操作栏</w:t>
      </w:r>
      <w:r>
        <w:rPr>
          <w:rFonts w:hint="eastAsia" w:ascii="宋体" w:hAnsi="宋体"/>
        </w:rPr>
        <w:t>【</w:t>
      </w:r>
      <w:r>
        <w:rPr>
          <w:rFonts w:hint="eastAsia"/>
        </w:rPr>
        <w:t>保存</w:t>
      </w:r>
      <w:r>
        <w:rPr>
          <w:rFonts w:hint="eastAsia" w:ascii="宋体" w:hAnsi="宋体"/>
        </w:rPr>
        <w:t>】</w:t>
      </w:r>
      <w:r>
        <w:rPr>
          <w:rFonts w:hint="eastAsia"/>
        </w:rPr>
        <w:t>再填写下一种（见图</w:t>
      </w:r>
      <w:r>
        <w:t>13</w:t>
      </w:r>
      <w:r>
        <w:rPr>
          <w:rFonts w:hint="eastAsia"/>
        </w:rPr>
        <w:t>），直至一次放流活动全部放流物种均填写完成，再点击填写表格下方</w:t>
      </w:r>
      <w:r>
        <w:rPr>
          <w:rFonts w:hint="eastAsia" w:ascii="宋体" w:hAnsi="宋体"/>
        </w:rPr>
        <w:t>【</w:t>
      </w:r>
      <w:r>
        <w:rPr>
          <w:rFonts w:hint="eastAsia"/>
        </w:rPr>
        <w:t>保存</w:t>
      </w:r>
      <w:r>
        <w:rPr>
          <w:rFonts w:hint="eastAsia" w:ascii="宋体" w:hAnsi="宋体"/>
        </w:rPr>
        <w:t>】（见图</w:t>
      </w:r>
      <w:r>
        <w:rPr>
          <w:rFonts w:ascii="宋体" w:hAnsi="宋体"/>
        </w:rPr>
        <w:t>13</w:t>
      </w:r>
      <w:r>
        <w:rPr>
          <w:rFonts w:hint="eastAsia" w:ascii="宋体" w:hAnsi="宋体"/>
        </w:rPr>
        <w:t>），所有填写数据将显示在新增填写表格的上方以便查看修改。</w:t>
      </w:r>
      <w:r>
        <w:rPr>
          <w:rFonts w:hint="eastAsia"/>
        </w:rPr>
        <w:t>如有两次及以上放流活动，请在下方新增填写表格处继续填写，重复以上步骤。当本年度所有的活动添加完毕并核实无误后，可点击</w:t>
      </w:r>
      <w:r>
        <w:rPr>
          <w:rFonts w:hint="eastAsia" w:ascii="宋体" w:hAnsi="宋体"/>
        </w:rPr>
        <w:t>【</w:t>
      </w:r>
      <w:r>
        <w:rPr>
          <w:rFonts w:hint="eastAsia"/>
        </w:rPr>
        <w:t>数据报送</w:t>
      </w:r>
      <w:r>
        <w:rPr>
          <w:rFonts w:hint="eastAsia" w:ascii="宋体" w:hAnsi="宋体"/>
        </w:rPr>
        <w:t>】</w:t>
      </w:r>
      <w:r>
        <w:rPr>
          <w:rFonts w:hint="eastAsia"/>
        </w:rPr>
        <w:t>按钮进行报送，等待上级审核即可。</w:t>
      </w:r>
      <w:r>
        <w:rPr>
          <w:rFonts w:hint="eastAsia" w:ascii="宋体" w:hAnsi="宋体"/>
          <w:b/>
          <w:color w:val="000000"/>
          <w:szCs w:val="21"/>
        </w:rPr>
        <w:t>注意：资金来源项中中央投资栏仅填写中央财政农业资源及生态保护补助项目增殖放流资金，不包括中央财政渔业油价补贴项目中各地自行统筹用于增殖放流的资金。各地渔业油价补贴项目增殖放流统筹资金作为省级投资进行填写。一次增殖放流活动中用于招投标、跟踪调查、效果评估、公证、验收等其他费用按此次增殖放流各物种的资金比例累加各物种的资金中。</w:t>
      </w:r>
    </w:p>
    <w:p>
      <w:r>
        <w:rPr>
          <w:rFonts w:hint="eastAsia"/>
        </w:rPr>
        <w:drawing>
          <wp:inline distT="0" distB="0" distL="114300" distR="114300">
            <wp:extent cx="5012690" cy="2485390"/>
            <wp:effectExtent l="0" t="0" r="16510" b="10160"/>
            <wp:docPr id="32" name="图片 12" descr="QQ截图2016101014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QQ截图20161010141424"/>
                    <pic:cNvPicPr>
                      <a:picLocks noChangeAspect="1"/>
                    </pic:cNvPicPr>
                  </pic:nvPicPr>
                  <pic:blipFill>
                    <a:blip r:embed="rId16"/>
                    <a:stretch>
                      <a:fillRect/>
                    </a:stretch>
                  </pic:blipFill>
                  <pic:spPr>
                    <a:xfrm>
                      <a:off x="0" y="0"/>
                      <a:ext cx="5012690" cy="2485390"/>
                    </a:xfrm>
                    <a:prstGeom prst="rect">
                      <a:avLst/>
                    </a:prstGeom>
                    <a:noFill/>
                    <a:ln>
                      <a:noFill/>
                    </a:ln>
                  </pic:spPr>
                </pic:pic>
              </a:graphicData>
            </a:graphic>
          </wp:inline>
        </w:drawing>
      </w:r>
    </w:p>
    <w:p>
      <w:pPr>
        <w:widowControl/>
        <w:spacing w:line="360" w:lineRule="auto"/>
        <w:jc w:val="center"/>
        <w:rPr>
          <w:rFonts w:ascii="宋体"/>
        </w:rPr>
      </w:pPr>
      <w:r>
        <w:rPr>
          <w:rFonts w:hint="eastAsia" w:ascii="宋体" w:hAnsi="宋体"/>
        </w:rPr>
        <w:t>图</w:t>
      </w:r>
      <w:r>
        <w:rPr>
          <w:rFonts w:ascii="宋体" w:hAnsi="宋体"/>
        </w:rPr>
        <w:t>12</w:t>
      </w:r>
      <w:r>
        <w:rPr>
          <w:rFonts w:hint="eastAsia" w:ascii="宋体" w:hAnsi="宋体"/>
        </w:rPr>
        <w:t>《水生生物增殖放流基础数据统计表》报表填报前部分</w:t>
      </w:r>
    </w:p>
    <w:p>
      <w:pPr>
        <w:widowControl/>
        <w:spacing w:line="360" w:lineRule="auto"/>
        <w:jc w:val="center"/>
        <w:rPr>
          <w:rFonts w:ascii="宋体"/>
        </w:rPr>
      </w:pPr>
      <w:r>
        <w:rPr>
          <w:rFonts w:hint="eastAsia" w:ascii="宋体"/>
        </w:rPr>
        <w:drawing>
          <wp:inline distT="0" distB="0" distL="114300" distR="114300">
            <wp:extent cx="5354320" cy="2611120"/>
            <wp:effectExtent l="0" t="0" r="17780" b="17780"/>
            <wp:docPr id="23" name="图片 13" descr="QQ截图2016101014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QQ截图20161010141730"/>
                    <pic:cNvPicPr>
                      <a:picLocks noChangeAspect="1"/>
                    </pic:cNvPicPr>
                  </pic:nvPicPr>
                  <pic:blipFill>
                    <a:blip r:embed="rId17"/>
                    <a:stretch>
                      <a:fillRect/>
                    </a:stretch>
                  </pic:blipFill>
                  <pic:spPr>
                    <a:xfrm>
                      <a:off x="0" y="0"/>
                      <a:ext cx="5354320" cy="2611120"/>
                    </a:xfrm>
                    <a:prstGeom prst="rect">
                      <a:avLst/>
                    </a:prstGeom>
                    <a:noFill/>
                    <a:ln>
                      <a:noFill/>
                    </a:ln>
                  </pic:spPr>
                </pic:pic>
              </a:graphicData>
            </a:graphic>
          </wp:inline>
        </w:drawing>
      </w:r>
    </w:p>
    <w:p>
      <w:pPr>
        <w:widowControl/>
        <w:spacing w:line="360" w:lineRule="auto"/>
        <w:jc w:val="center"/>
        <w:rPr>
          <w:rFonts w:ascii="宋体"/>
        </w:rPr>
      </w:pPr>
      <w:r>
        <w:rPr>
          <w:rFonts w:hint="eastAsia" w:ascii="宋体" w:hAnsi="宋体"/>
        </w:rPr>
        <w:t>图</w:t>
      </w:r>
      <w:r>
        <w:rPr>
          <w:rFonts w:ascii="宋体" w:hAnsi="宋体"/>
        </w:rPr>
        <w:t>13</w:t>
      </w:r>
      <w:r>
        <w:rPr>
          <w:rFonts w:hint="eastAsia" w:ascii="宋体" w:hAnsi="宋体"/>
        </w:rPr>
        <w:t>《水生生物增殖放流基础数据统计表》报表填报后部分</w:t>
      </w:r>
    </w:p>
    <w:p>
      <w:pPr>
        <w:widowControl/>
        <w:spacing w:line="360" w:lineRule="auto"/>
        <w:ind w:firstLine="420" w:firstLineChars="200"/>
        <w:rPr>
          <w:rFonts w:ascii="宋体"/>
        </w:rPr>
      </w:pPr>
      <w:r>
        <w:rPr>
          <w:rFonts w:hint="eastAsia" w:ascii="宋体" w:hAnsi="宋体"/>
        </w:rPr>
        <w:t>填写供苗单位时，系统会弹出供苗单位选择页面（见图</w:t>
      </w:r>
      <w:r>
        <w:rPr>
          <w:rFonts w:ascii="宋体" w:hAnsi="宋体"/>
        </w:rPr>
        <w:t>14</w:t>
      </w:r>
      <w:r>
        <w:rPr>
          <w:rFonts w:hint="eastAsia" w:ascii="宋体" w:hAnsi="宋体"/>
        </w:rPr>
        <w:t>），选择承担本次增殖放流活动的供苗单位后点击确定即可。如属其他行政区域的供苗单位请在所属区域一栏选择省市县后点击查询找到相应供苗单位点击选择再点击确定即可。如供苗单位基础数据库中确实没有该单位，可通过返回操作菜单</w:t>
      </w:r>
      <w:r>
        <w:rPr>
          <w:rFonts w:ascii="宋体"/>
        </w:rPr>
        <w:t>-</w:t>
      </w:r>
      <w:r>
        <w:rPr>
          <w:rFonts w:hint="eastAsia" w:ascii="宋体" w:hAnsi="宋体"/>
        </w:rPr>
        <w:t>供苗单位信息栏进行供苗单位新增，或者在单位列表中选择“其他”。</w:t>
      </w:r>
    </w:p>
    <w:p>
      <w:pPr>
        <w:spacing w:line="360" w:lineRule="auto"/>
        <w:jc w:val="left"/>
        <w:rPr>
          <w:rFonts w:ascii="宋体"/>
          <w:b/>
          <w:szCs w:val="21"/>
        </w:rPr>
      </w:pPr>
      <w:r>
        <w:rPr>
          <w:rFonts w:hint="eastAsia" w:ascii="宋体"/>
          <w:b/>
          <w:szCs w:val="21"/>
        </w:rPr>
        <w:drawing>
          <wp:inline distT="0" distB="0" distL="114300" distR="114300">
            <wp:extent cx="5163820" cy="2089150"/>
            <wp:effectExtent l="0" t="0" r="17780" b="6350"/>
            <wp:docPr id="33" name="图片 14" descr="QQ截图2017102021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QQ截图20171020214255"/>
                    <pic:cNvPicPr>
                      <a:picLocks noChangeAspect="1"/>
                    </pic:cNvPicPr>
                  </pic:nvPicPr>
                  <pic:blipFill>
                    <a:blip r:embed="rId18"/>
                    <a:stretch>
                      <a:fillRect/>
                    </a:stretch>
                  </pic:blipFill>
                  <pic:spPr>
                    <a:xfrm>
                      <a:off x="0" y="0"/>
                      <a:ext cx="5163820" cy="2089150"/>
                    </a:xfrm>
                    <a:prstGeom prst="rect">
                      <a:avLst/>
                    </a:prstGeom>
                    <a:noFill/>
                    <a:ln>
                      <a:noFill/>
                    </a:ln>
                  </pic:spPr>
                </pic:pic>
              </a:graphicData>
            </a:graphic>
          </wp:inline>
        </w:drawing>
      </w:r>
    </w:p>
    <w:p>
      <w:pPr>
        <w:widowControl/>
        <w:spacing w:line="360" w:lineRule="auto"/>
        <w:jc w:val="center"/>
        <w:rPr>
          <w:rFonts w:ascii="宋体"/>
        </w:rPr>
      </w:pPr>
      <w:r>
        <w:rPr>
          <w:rFonts w:hint="eastAsia" w:ascii="宋体" w:hAnsi="宋体"/>
        </w:rPr>
        <w:t>图</w:t>
      </w:r>
      <w:r>
        <w:rPr>
          <w:rFonts w:ascii="宋体" w:hAnsi="宋体"/>
        </w:rPr>
        <w:t>14</w:t>
      </w:r>
      <w:r>
        <w:rPr>
          <w:rFonts w:hint="eastAsia" w:ascii="宋体" w:hAnsi="宋体"/>
        </w:rPr>
        <w:t>《水生生物增殖放流基础数据统计表》供苗单位选择页面</w:t>
      </w:r>
    </w:p>
    <w:p>
      <w:pPr>
        <w:spacing w:line="360" w:lineRule="auto"/>
        <w:ind w:firstLine="422" w:firstLineChars="200"/>
        <w:jc w:val="left"/>
      </w:pPr>
      <w:r>
        <w:rPr>
          <w:rFonts w:ascii="宋体" w:hAnsi="宋体"/>
          <w:b/>
          <w:szCs w:val="21"/>
        </w:rPr>
        <w:t>3</w:t>
      </w:r>
      <w:r>
        <w:rPr>
          <w:rFonts w:ascii="宋体"/>
          <w:b/>
          <w:szCs w:val="21"/>
        </w:rPr>
        <w:t>.</w:t>
      </w:r>
      <w:r>
        <w:rPr>
          <w:rFonts w:hint="eastAsia" w:ascii="宋体" w:hAnsi="宋体"/>
          <w:b/>
          <w:szCs w:val="21"/>
        </w:rPr>
        <w:t>《渔业水域污染事故情况调查统计表》。</w:t>
      </w:r>
      <w:r>
        <w:rPr>
          <w:rFonts w:hint="eastAsia"/>
        </w:rPr>
        <w:t>同水生生物增殖放流基础数据填报一样，需先添加前一部分的事件，再在后面添加详细的清单。如果一次水域污染事故损失对象为两种及以上种类，请依次填写。填完一种后点击右侧操作栏</w:t>
      </w:r>
      <w:r>
        <w:rPr>
          <w:rFonts w:hint="eastAsia" w:ascii="宋体" w:hAnsi="宋体"/>
        </w:rPr>
        <w:t>【</w:t>
      </w:r>
      <w:r>
        <w:rPr>
          <w:rFonts w:hint="eastAsia"/>
        </w:rPr>
        <w:t>保存</w:t>
      </w:r>
      <w:r>
        <w:rPr>
          <w:rFonts w:hint="eastAsia" w:ascii="宋体" w:hAnsi="宋体"/>
        </w:rPr>
        <w:t>】</w:t>
      </w:r>
      <w:r>
        <w:rPr>
          <w:rFonts w:hint="eastAsia"/>
        </w:rPr>
        <w:t>再填写下一种，直至一次污染事故损失对象情况全部填写完成，再点击填写表格下方</w:t>
      </w:r>
      <w:r>
        <w:rPr>
          <w:rFonts w:hint="eastAsia" w:ascii="宋体" w:hAnsi="宋体"/>
        </w:rPr>
        <w:t>【</w:t>
      </w:r>
      <w:r>
        <w:rPr>
          <w:rFonts w:hint="eastAsia"/>
        </w:rPr>
        <w:t>保存</w:t>
      </w:r>
      <w:r>
        <w:rPr>
          <w:rFonts w:hint="eastAsia" w:ascii="宋体" w:hAnsi="宋体"/>
        </w:rPr>
        <w:t>】，所有填写数据将显示在新增填写表格的上方以便查看修改。</w:t>
      </w:r>
      <w:r>
        <w:rPr>
          <w:rFonts w:hint="eastAsia"/>
        </w:rPr>
        <w:t>如有两次及以上渔业污染事故，请在下方新增填写表格处继续填写，重复以上步骤。当本年度所有的事故添加完毕并核实无误后，可点击</w:t>
      </w:r>
      <w:r>
        <w:rPr>
          <w:rFonts w:hint="eastAsia" w:ascii="宋体" w:hAnsi="宋体"/>
        </w:rPr>
        <w:t>【</w:t>
      </w:r>
      <w:r>
        <w:rPr>
          <w:rFonts w:hint="eastAsia"/>
        </w:rPr>
        <w:t>数据报送</w:t>
      </w:r>
      <w:r>
        <w:rPr>
          <w:rFonts w:hint="eastAsia" w:ascii="宋体" w:hAnsi="宋体"/>
        </w:rPr>
        <w:t>】</w:t>
      </w:r>
      <w:r>
        <w:rPr>
          <w:rFonts w:hint="eastAsia"/>
        </w:rPr>
        <w:t>按钮进行报送，等待上级审核即可。</w:t>
      </w:r>
    </w:p>
    <w:p>
      <w:pPr>
        <w:tabs>
          <w:tab w:val="left" w:pos="3585"/>
          <w:tab w:val="center" w:pos="4153"/>
          <w:tab w:val="left" w:pos="5205"/>
        </w:tabs>
        <w:spacing w:line="360" w:lineRule="auto"/>
        <w:ind w:firstLine="422" w:firstLineChars="200"/>
        <w:jc w:val="left"/>
      </w:pPr>
      <w:r>
        <w:rPr>
          <w:rFonts w:ascii="宋体" w:hAnsi="宋体"/>
          <w:b/>
          <w:szCs w:val="21"/>
        </w:rPr>
        <w:t>4</w:t>
      </w:r>
      <w:r>
        <w:rPr>
          <w:rFonts w:ascii="宋体"/>
          <w:b/>
          <w:szCs w:val="21"/>
        </w:rPr>
        <w:t>.</w:t>
      </w:r>
      <w:r>
        <w:rPr>
          <w:rFonts w:hint="eastAsia" w:ascii="宋体" w:hAnsi="宋体"/>
          <w:b/>
          <w:szCs w:val="21"/>
        </w:rPr>
        <w:t>《渔业生态环境影响评价工作情况调查统计表》。</w:t>
      </w:r>
      <w:r>
        <w:rPr>
          <w:rFonts w:hint="eastAsia"/>
        </w:rPr>
        <w:t>逐条添加数据，审核无误后，点击</w:t>
      </w:r>
      <w:r>
        <w:rPr>
          <w:rFonts w:hint="eastAsia" w:ascii="宋体" w:hAnsi="宋体"/>
        </w:rPr>
        <w:t>【</w:t>
      </w:r>
      <w:r>
        <w:rPr>
          <w:rFonts w:hint="eastAsia"/>
        </w:rPr>
        <w:t>数据报送</w:t>
      </w:r>
      <w:r>
        <w:rPr>
          <w:rFonts w:hint="eastAsia" w:ascii="宋体" w:hAnsi="宋体"/>
        </w:rPr>
        <w:t>】</w:t>
      </w:r>
      <w:r>
        <w:rPr>
          <w:rFonts w:hint="eastAsia"/>
        </w:rPr>
        <w:t>按钮进行报送，等待上级审核即可。</w:t>
      </w:r>
    </w:p>
    <w:p>
      <w:pPr>
        <w:tabs>
          <w:tab w:val="left" w:pos="3585"/>
          <w:tab w:val="center" w:pos="4153"/>
          <w:tab w:val="left" w:pos="5205"/>
        </w:tabs>
        <w:spacing w:line="360" w:lineRule="auto"/>
        <w:ind w:firstLine="422" w:firstLineChars="200"/>
        <w:jc w:val="left"/>
      </w:pPr>
      <w:r>
        <w:rPr>
          <w:rFonts w:ascii="宋体" w:hAnsi="宋体"/>
          <w:b/>
          <w:szCs w:val="21"/>
        </w:rPr>
        <w:t>5</w:t>
      </w:r>
      <w:r>
        <w:rPr>
          <w:rFonts w:ascii="宋体"/>
          <w:b/>
          <w:szCs w:val="21"/>
        </w:rPr>
        <w:t>.</w:t>
      </w:r>
      <w:r>
        <w:rPr>
          <w:rFonts w:hint="eastAsia" w:ascii="宋体" w:hAnsi="宋体"/>
          <w:b/>
          <w:szCs w:val="21"/>
        </w:rPr>
        <w:t>《禁渔区和禁渔期制度实施情况统计表》。</w:t>
      </w:r>
      <w:r>
        <w:rPr>
          <w:rFonts w:hint="eastAsia"/>
        </w:rPr>
        <w:t>逐条添加数据，审核无误后，点击</w:t>
      </w:r>
      <w:r>
        <w:rPr>
          <w:rFonts w:hint="eastAsia" w:ascii="宋体" w:hAnsi="宋体"/>
        </w:rPr>
        <w:t>【</w:t>
      </w:r>
      <w:r>
        <w:rPr>
          <w:rFonts w:hint="eastAsia"/>
        </w:rPr>
        <w:t>数据报送</w:t>
      </w:r>
      <w:r>
        <w:rPr>
          <w:rFonts w:hint="eastAsia" w:ascii="宋体" w:hAnsi="宋体"/>
        </w:rPr>
        <w:t>】</w:t>
      </w:r>
      <w:r>
        <w:rPr>
          <w:rFonts w:hint="eastAsia"/>
        </w:rPr>
        <w:t>按钮进行报送，等待上级审核即可。</w:t>
      </w:r>
    </w:p>
    <w:p>
      <w:pPr>
        <w:spacing w:line="360" w:lineRule="auto"/>
        <w:ind w:firstLine="422" w:firstLineChars="200"/>
      </w:pPr>
      <w:r>
        <w:rPr>
          <w:rFonts w:ascii="宋体" w:hAnsi="宋体"/>
          <w:b/>
          <w:szCs w:val="21"/>
        </w:rPr>
        <w:t>6</w:t>
      </w:r>
      <w:r>
        <w:rPr>
          <w:rFonts w:ascii="宋体"/>
          <w:b/>
          <w:szCs w:val="21"/>
        </w:rPr>
        <w:t>.</w:t>
      </w:r>
      <w:r>
        <w:rPr>
          <w:rFonts w:hint="eastAsia" w:ascii="宋体" w:hAnsi="宋体"/>
          <w:b/>
          <w:szCs w:val="21"/>
        </w:rPr>
        <w:t>《新建自然保护区、水产种质资源保护区情况调查表》。</w:t>
      </w:r>
      <w:r>
        <w:rPr>
          <w:rFonts w:hint="eastAsia"/>
        </w:rPr>
        <w:t>逐条添加数据，审核无误后，点击</w:t>
      </w:r>
      <w:r>
        <w:rPr>
          <w:rFonts w:hint="eastAsia" w:ascii="宋体" w:hAnsi="宋体"/>
        </w:rPr>
        <w:t>【</w:t>
      </w:r>
      <w:r>
        <w:rPr>
          <w:rFonts w:hint="eastAsia"/>
        </w:rPr>
        <w:t>数据报送</w:t>
      </w:r>
      <w:r>
        <w:rPr>
          <w:rFonts w:hint="eastAsia" w:ascii="宋体" w:hAnsi="宋体"/>
        </w:rPr>
        <w:t>】</w:t>
      </w:r>
      <w:r>
        <w:rPr>
          <w:rFonts w:hint="eastAsia"/>
        </w:rPr>
        <w:t>按钮进行报送，等待上级审核即可。注意：在水生生物自然保护区信息填报方面，为全面了解各地水生生物自然保护区建设情况，请各地填写截至目前本地区已建立的所有水生生物自然保护区（包括县级、地市级、省级和国家级）的相关数据。</w:t>
      </w:r>
    </w:p>
    <w:p>
      <w:pPr>
        <w:tabs>
          <w:tab w:val="left" w:pos="3585"/>
          <w:tab w:val="center" w:pos="4153"/>
          <w:tab w:val="left" w:pos="5205"/>
        </w:tabs>
        <w:spacing w:line="360" w:lineRule="auto"/>
        <w:ind w:firstLine="422" w:firstLineChars="200"/>
        <w:jc w:val="left"/>
      </w:pPr>
      <w:r>
        <w:rPr>
          <w:rFonts w:ascii="宋体" w:hAnsi="宋体"/>
          <w:b/>
          <w:szCs w:val="21"/>
        </w:rPr>
        <w:t>7</w:t>
      </w:r>
      <w:r>
        <w:rPr>
          <w:rFonts w:ascii="宋体"/>
          <w:b/>
          <w:szCs w:val="21"/>
        </w:rPr>
        <w:t>.</w:t>
      </w:r>
      <w:r>
        <w:rPr>
          <w:rFonts w:hint="eastAsia" w:ascii="宋体" w:hAnsi="宋体"/>
          <w:b/>
          <w:szCs w:val="21"/>
        </w:rPr>
        <w:t>《濒危物种专项救护情况统计表》。</w:t>
      </w:r>
      <w:r>
        <w:rPr>
          <w:rFonts w:hint="eastAsia"/>
        </w:rPr>
        <w:t>逐条添加数据，审核无误后，点击</w:t>
      </w:r>
      <w:r>
        <w:rPr>
          <w:rFonts w:hint="eastAsia" w:ascii="宋体" w:hAnsi="宋体"/>
        </w:rPr>
        <w:t>【</w:t>
      </w:r>
      <w:r>
        <w:rPr>
          <w:rFonts w:hint="eastAsia"/>
        </w:rPr>
        <w:t>数据报送</w:t>
      </w:r>
      <w:r>
        <w:rPr>
          <w:rFonts w:hint="eastAsia" w:ascii="宋体" w:hAnsi="宋体"/>
        </w:rPr>
        <w:t>】</w:t>
      </w:r>
      <w:r>
        <w:rPr>
          <w:rFonts w:hint="eastAsia"/>
        </w:rPr>
        <w:t>按钮进行报送，等待上级审核即可。</w:t>
      </w:r>
    </w:p>
    <w:p>
      <w:pPr>
        <w:tabs>
          <w:tab w:val="left" w:pos="3585"/>
          <w:tab w:val="center" w:pos="4153"/>
          <w:tab w:val="left" w:pos="5205"/>
        </w:tabs>
        <w:spacing w:line="360" w:lineRule="auto"/>
        <w:ind w:firstLine="422" w:firstLineChars="200"/>
        <w:jc w:val="left"/>
      </w:pPr>
      <w:r>
        <w:rPr>
          <w:rFonts w:ascii="宋体" w:hAnsi="宋体"/>
          <w:b/>
          <w:szCs w:val="21"/>
        </w:rPr>
        <w:t>8</w:t>
      </w:r>
      <w:r>
        <w:rPr>
          <w:rFonts w:ascii="宋体"/>
          <w:b/>
          <w:szCs w:val="21"/>
        </w:rPr>
        <w:t>.</w:t>
      </w:r>
      <w:r>
        <w:rPr>
          <w:rFonts w:hint="eastAsia" w:ascii="宋体" w:hAnsi="宋体"/>
          <w:b/>
          <w:szCs w:val="21"/>
        </w:rPr>
        <w:t>《人工鱼礁（巢）</w:t>
      </w:r>
      <w:r>
        <w:rPr>
          <w:rFonts w:ascii="宋体" w:hAnsi="宋体"/>
          <w:b/>
          <w:szCs w:val="21"/>
        </w:rPr>
        <w:t>/</w:t>
      </w:r>
      <w:r>
        <w:rPr>
          <w:rFonts w:hint="eastAsia" w:ascii="宋体" w:hAnsi="宋体"/>
          <w:b/>
          <w:szCs w:val="21"/>
        </w:rPr>
        <w:t>海洋牧场示范区建设情况统计表》。</w:t>
      </w:r>
      <w:r>
        <w:rPr>
          <w:rFonts w:hint="eastAsia"/>
        </w:rPr>
        <w:t>每一条情况填写请先选择类型，再填写数据。填写完一条后，点击保存再逐条添加数据，审核无误后，点击</w:t>
      </w:r>
      <w:r>
        <w:rPr>
          <w:rFonts w:hint="eastAsia" w:ascii="宋体" w:hAnsi="宋体"/>
        </w:rPr>
        <w:t>【</w:t>
      </w:r>
      <w:r>
        <w:rPr>
          <w:rFonts w:hint="eastAsia"/>
        </w:rPr>
        <w:t>数据报送</w:t>
      </w:r>
      <w:r>
        <w:rPr>
          <w:rFonts w:hint="eastAsia" w:ascii="宋体" w:hAnsi="宋体"/>
        </w:rPr>
        <w:t>】</w:t>
      </w:r>
      <w:r>
        <w:rPr>
          <w:rFonts w:hint="eastAsia"/>
        </w:rPr>
        <w:t>按钮进行报送，等待上级审核即可。</w:t>
      </w:r>
    </w:p>
    <w:p>
      <w:pPr>
        <w:spacing w:line="360" w:lineRule="auto"/>
        <w:ind w:firstLine="422" w:firstLineChars="200"/>
        <w:rPr>
          <w:rFonts w:ascii="楷体_GB2312" w:hAnsi="宋体" w:eastAsia="楷体_GB2312"/>
          <w:b/>
        </w:rPr>
      </w:pPr>
      <w:r>
        <w:rPr>
          <w:rFonts w:hint="eastAsia" w:ascii="楷体_GB2312" w:hAnsi="宋体" w:eastAsia="楷体_GB2312"/>
          <w:b/>
        </w:rPr>
        <w:t>（二）供苗单位信息</w:t>
      </w:r>
    </w:p>
    <w:p>
      <w:pPr>
        <w:spacing w:line="360" w:lineRule="auto"/>
        <w:ind w:firstLine="517" w:firstLineChars="245"/>
        <w:rPr>
          <w:rFonts w:ascii="宋体"/>
          <w:b/>
          <w:szCs w:val="21"/>
        </w:rPr>
      </w:pPr>
      <w:r>
        <w:rPr>
          <w:rFonts w:ascii="宋体" w:hAnsi="宋体"/>
          <w:b/>
          <w:szCs w:val="21"/>
        </w:rPr>
        <w:t>1.</w:t>
      </w:r>
      <w:r>
        <w:rPr>
          <w:rFonts w:hint="eastAsia" w:ascii="宋体" w:hAnsi="宋体"/>
          <w:b/>
          <w:szCs w:val="21"/>
        </w:rPr>
        <w:t>单位管理</w:t>
      </w:r>
      <w:r>
        <w:rPr>
          <w:rFonts w:ascii="宋体" w:hAnsi="宋体"/>
          <w:b/>
          <w:szCs w:val="21"/>
        </w:rPr>
        <w:t>/</w:t>
      </w:r>
      <w:r>
        <w:rPr>
          <w:rFonts w:hint="eastAsia" w:ascii="宋体" w:hAnsi="宋体"/>
          <w:b/>
          <w:szCs w:val="21"/>
        </w:rPr>
        <w:t>新增。</w:t>
      </w:r>
      <w:r>
        <w:rPr>
          <w:rFonts w:hint="eastAsia" w:ascii="宋体" w:hAnsi="宋体"/>
          <w:szCs w:val="21"/>
        </w:rPr>
        <w:t>新增供苗单位的填报方法同省级管理员。区县级用户可以通过“单位管理</w:t>
      </w:r>
      <w:r>
        <w:rPr>
          <w:rFonts w:hint="eastAsia" w:ascii="宋体"/>
          <w:szCs w:val="21"/>
        </w:rPr>
        <w:t>”</w:t>
      </w:r>
      <w:r>
        <w:rPr>
          <w:rFonts w:hint="eastAsia" w:ascii="宋体" w:hAnsi="宋体"/>
          <w:szCs w:val="21"/>
        </w:rPr>
        <w:t>功能查看县级行政区划内所有供苗单位信息，包括审核通过、未报送、已报送、驳回申请的各种供苗单位，并可将供苗单位报送的符合要求的供苗单位信息审核通过，不符合要求进行驳回，同时还可以对所有供苗单位进行修改和删除</w:t>
      </w:r>
      <w:r>
        <w:rPr>
          <w:rFonts w:hint="eastAsia" w:ascii="宋体" w:hAnsi="宋体"/>
          <w:b/>
          <w:szCs w:val="21"/>
        </w:rPr>
        <w:t>。</w:t>
      </w:r>
    </w:p>
    <w:p>
      <w:pPr>
        <w:spacing w:line="360" w:lineRule="auto"/>
        <w:ind w:firstLine="514" w:firstLineChars="245"/>
        <w:rPr>
          <w:rFonts w:ascii="宋体"/>
          <w:szCs w:val="21"/>
        </w:rPr>
      </w:pPr>
      <w:r>
        <w:rPr>
          <w:rFonts w:hint="eastAsia" w:ascii="宋体" w:hAnsi="宋体"/>
          <w:szCs w:val="21"/>
        </w:rPr>
        <w:t>部直属、省本级、地市本级用户可以查看单位所在地填写为相应的部直属、省本级、地市本级的供苗单位信息，并对其进行管理。</w:t>
      </w:r>
    </w:p>
    <w:p>
      <w:pPr>
        <w:widowControl/>
        <w:spacing w:line="360" w:lineRule="auto"/>
        <w:ind w:firstLine="413" w:firstLineChars="196"/>
        <w:rPr>
          <w:rFonts w:ascii="宋体"/>
          <w:b/>
        </w:rPr>
      </w:pPr>
      <w:r>
        <w:rPr>
          <w:rFonts w:ascii="宋体" w:hAnsi="宋体"/>
          <w:b/>
          <w:color w:val="000000"/>
          <w:szCs w:val="21"/>
        </w:rPr>
        <w:t>2</w:t>
      </w:r>
      <w:r>
        <w:rPr>
          <w:rFonts w:ascii="宋体"/>
          <w:b/>
          <w:color w:val="000000"/>
          <w:szCs w:val="21"/>
        </w:rPr>
        <w:t>.</w:t>
      </w:r>
      <w:r>
        <w:rPr>
          <w:rFonts w:hint="eastAsia" w:ascii="宋体" w:hAnsi="宋体"/>
          <w:b/>
          <w:color w:val="000000"/>
          <w:szCs w:val="21"/>
        </w:rPr>
        <w:t>中央财政增殖放流供苗单位列表。</w:t>
      </w:r>
      <w:r>
        <w:rPr>
          <w:rFonts w:hint="eastAsia"/>
        </w:rPr>
        <w:t>点击</w:t>
      </w:r>
      <w:r>
        <w:rPr>
          <w:rFonts w:hint="eastAsia" w:ascii="宋体" w:hAnsi="宋体"/>
        </w:rPr>
        <w:t>【中央财政增殖放流供苗单位列表】，选择所属年份再点击【检索】，</w:t>
      </w:r>
      <w:r>
        <w:rPr>
          <w:rFonts w:hint="eastAsia"/>
        </w:rPr>
        <w:t>右边显示区会出现选择年度本区域承担中央财政项目的增殖放流供苗的具体列表。注意</w:t>
      </w:r>
      <w:r>
        <w:rPr>
          <w:rFonts w:hint="eastAsia"/>
          <w:b/>
        </w:rPr>
        <w:t>：只要在增殖放流基础数据统计表中资金来源</w:t>
      </w:r>
      <w:r>
        <w:rPr>
          <w:b/>
        </w:rPr>
        <w:t>-</w:t>
      </w:r>
      <w:r>
        <w:rPr>
          <w:rFonts w:hint="eastAsia"/>
          <w:b/>
        </w:rPr>
        <w:t>中央投资栏填写大于</w:t>
      </w:r>
      <w:r>
        <w:rPr>
          <w:b/>
        </w:rPr>
        <w:t>0</w:t>
      </w:r>
      <w:r>
        <w:rPr>
          <w:rFonts w:hint="eastAsia"/>
          <w:b/>
        </w:rPr>
        <w:t>的金额，则本次增殖放流活动所填写的供苗单位即为</w:t>
      </w:r>
      <w:r>
        <w:rPr>
          <w:rFonts w:hint="eastAsia" w:ascii="宋体" w:hAnsi="宋体"/>
          <w:b/>
        </w:rPr>
        <w:t>中央财政增殖放流供苗单位，相关供苗单位信息将自动汇总至此列表。</w:t>
      </w:r>
    </w:p>
    <w:p>
      <w:pPr>
        <w:widowControl/>
        <w:spacing w:line="360" w:lineRule="auto"/>
        <w:ind w:firstLine="411" w:firstLineChars="196"/>
        <w:rPr>
          <w:rFonts w:ascii="宋体"/>
        </w:rPr>
      </w:pPr>
      <w:r>
        <w:t>3.</w:t>
      </w:r>
      <w:r>
        <w:rPr>
          <w:rFonts w:hint="eastAsia"/>
        </w:rPr>
        <w:t>单位评价列表。</w:t>
      </w:r>
      <w:r>
        <w:rPr>
          <w:rFonts w:hint="eastAsia"/>
          <w:b/>
        </w:rPr>
        <w:t>根据</w:t>
      </w:r>
      <w:r>
        <w:rPr>
          <w:rFonts w:hint="eastAsia"/>
          <w:bCs/>
        </w:rPr>
        <w:t>《</w:t>
      </w:r>
      <w:r>
        <w:rPr>
          <w:rFonts w:hint="eastAsia"/>
          <w:b/>
        </w:rPr>
        <w:t>农业农村部办公厅关于实施水生生物增殖放流违法违规供苗单位通报制度的通知</w:t>
      </w:r>
      <w:r>
        <w:rPr>
          <w:rFonts w:hint="eastAsia"/>
          <w:bCs/>
        </w:rPr>
        <w:t>》</w:t>
      </w:r>
      <w:r>
        <w:rPr>
          <w:rFonts w:hint="eastAsia"/>
          <w:b/>
        </w:rPr>
        <w:t>（农办渔〔</w:t>
      </w:r>
      <w:r>
        <w:rPr>
          <w:b/>
        </w:rPr>
        <w:t>2018</w:t>
      </w:r>
      <w:r>
        <w:rPr>
          <w:rFonts w:hint="eastAsia"/>
          <w:b/>
        </w:rPr>
        <w:t>〕</w:t>
      </w:r>
      <w:r>
        <w:rPr>
          <w:b/>
        </w:rPr>
        <w:t>36</w:t>
      </w:r>
      <w:r>
        <w:rPr>
          <w:rFonts w:hint="eastAsia"/>
          <w:b/>
        </w:rPr>
        <w:t>号）对本行政区域内供苗单位进行评价。</w:t>
      </w:r>
      <w:r>
        <w:rPr>
          <w:rFonts w:hint="eastAsia"/>
        </w:rPr>
        <w:t>点击</w:t>
      </w:r>
      <w:r>
        <w:rPr>
          <w:rFonts w:hint="eastAsia" w:ascii="宋体" w:hAnsi="宋体"/>
        </w:rPr>
        <w:t>【</w:t>
      </w:r>
      <w:r>
        <w:rPr>
          <w:rFonts w:hint="eastAsia"/>
        </w:rPr>
        <w:t>添加</w:t>
      </w:r>
      <w:r>
        <w:rPr>
          <w:rFonts w:hint="eastAsia" w:ascii="宋体" w:hAnsi="宋体"/>
        </w:rPr>
        <w:t>】出现评价单位编辑界面</w:t>
      </w:r>
      <w:r>
        <w:rPr>
          <w:rFonts w:hint="eastAsia"/>
        </w:rPr>
        <w:t>（如图</w:t>
      </w:r>
      <w:r>
        <w:t>15</w:t>
      </w:r>
      <w:r>
        <w:rPr>
          <w:rFonts w:hint="eastAsia"/>
        </w:rPr>
        <w:t>），点击单位栏从页面弹出对话框中选择需要评价的单位，再点击确定，然后依次填写完评价内容后，点击【确定】即可上报上级管理员进行审核。</w:t>
      </w:r>
      <w:r>
        <w:rPr>
          <w:rFonts w:hint="eastAsia" w:ascii="宋体" w:hAnsi="宋体"/>
        </w:rPr>
        <w:t>注意：仅可评价本行政区域内供苗单位。单位评价也可在【单位管理】</w:t>
      </w:r>
      <w:r>
        <w:rPr>
          <w:rFonts w:ascii="宋体"/>
        </w:rPr>
        <w:t>-</w:t>
      </w:r>
      <w:r>
        <w:rPr>
          <w:rFonts w:hint="eastAsia" w:ascii="宋体" w:hAnsi="宋体"/>
        </w:rPr>
        <w:t>【信用管理】中进行操作。</w:t>
      </w:r>
    </w:p>
    <w:p>
      <w:pPr>
        <w:widowControl/>
        <w:spacing w:line="360" w:lineRule="auto"/>
      </w:pPr>
      <w:r>
        <w:rPr>
          <w:rFonts w:hint="eastAsia"/>
        </w:rPr>
        <w:drawing>
          <wp:inline distT="0" distB="0" distL="114300" distR="114300">
            <wp:extent cx="5226685" cy="1997075"/>
            <wp:effectExtent l="0" t="0" r="12065" b="317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9"/>
                    <a:stretch>
                      <a:fillRect/>
                    </a:stretch>
                  </pic:blipFill>
                  <pic:spPr>
                    <a:xfrm>
                      <a:off x="0" y="0"/>
                      <a:ext cx="5226685" cy="1997075"/>
                    </a:xfrm>
                    <a:prstGeom prst="rect">
                      <a:avLst/>
                    </a:prstGeom>
                    <a:noFill/>
                    <a:ln>
                      <a:noFill/>
                    </a:ln>
                  </pic:spPr>
                </pic:pic>
              </a:graphicData>
            </a:graphic>
          </wp:inline>
        </w:drawing>
      </w:r>
    </w:p>
    <w:p>
      <w:pPr>
        <w:widowControl/>
        <w:spacing w:line="360" w:lineRule="auto"/>
        <w:jc w:val="center"/>
      </w:pPr>
      <w:r>
        <w:rPr>
          <w:rFonts w:hint="eastAsia" w:ascii="宋体" w:hAnsi="宋体"/>
        </w:rPr>
        <w:t>图</w:t>
      </w:r>
      <w:r>
        <w:rPr>
          <w:rFonts w:ascii="宋体" w:hAnsi="宋体"/>
        </w:rPr>
        <w:t xml:space="preserve">15 </w:t>
      </w:r>
      <w:r>
        <w:rPr>
          <w:rFonts w:hint="eastAsia"/>
        </w:rPr>
        <w:t>供苗单位违规上报（</w:t>
      </w:r>
      <w:r>
        <w:rPr>
          <w:rFonts w:hint="eastAsia" w:ascii="宋体" w:hAnsi="宋体"/>
        </w:rPr>
        <w:t>评价单位编辑</w:t>
      </w:r>
      <w:r>
        <w:rPr>
          <w:rFonts w:hint="eastAsia"/>
        </w:rPr>
        <w:t>）初始界面</w:t>
      </w:r>
    </w:p>
    <w:p>
      <w:pPr>
        <w:spacing w:line="360" w:lineRule="auto"/>
        <w:ind w:firstLine="422" w:firstLineChars="200"/>
        <w:rPr>
          <w:rFonts w:ascii="楷体_GB2312" w:hAnsi="宋体" w:eastAsia="楷体_GB2312"/>
          <w:b/>
        </w:rPr>
      </w:pPr>
      <w:r>
        <w:rPr>
          <w:rFonts w:hint="eastAsia" w:ascii="楷体_GB2312" w:hAnsi="宋体" w:eastAsia="楷体_GB2312"/>
          <w:b/>
        </w:rPr>
        <w:t>（四）汇总导出</w:t>
      </w:r>
    </w:p>
    <w:p>
      <w:pPr>
        <w:spacing w:line="360" w:lineRule="auto"/>
        <w:ind w:firstLine="420" w:firstLineChars="200"/>
        <w:rPr>
          <w:rFonts w:ascii="宋体"/>
        </w:rPr>
      </w:pPr>
      <w:r>
        <w:rPr>
          <w:rFonts w:hint="eastAsia"/>
        </w:rPr>
        <w:t>操作方法同省级管理员。</w:t>
      </w:r>
      <w:r>
        <w:rPr>
          <w:rFonts w:hint="eastAsia" w:ascii="宋体" w:hAnsi="宋体"/>
        </w:rPr>
        <w:t>报表填报用户填写完成资源养护基础报表后，可以通过系统汇总导出功能导出</w:t>
      </w:r>
      <w:r>
        <w:rPr>
          <w:rFonts w:ascii="宋体" w:hAnsi="宋体"/>
        </w:rPr>
        <w:t>13</w:t>
      </w:r>
      <w:r>
        <w:rPr>
          <w:rFonts w:hint="eastAsia" w:ascii="宋体" w:hAnsi="宋体"/>
        </w:rPr>
        <w:t>个统计报表，连同相关总结材料签字盖章后以正式文件方式报送上级单位。</w:t>
      </w:r>
    </w:p>
    <w:p>
      <w:pPr>
        <w:spacing w:line="360" w:lineRule="auto"/>
        <w:ind w:firstLine="422" w:firstLineChars="200"/>
        <w:rPr>
          <w:rFonts w:ascii="楷体_GB2312" w:hAnsi="宋体" w:eastAsia="楷体_GB2312"/>
          <w:b/>
        </w:rPr>
      </w:pPr>
      <w:r>
        <w:rPr>
          <w:rFonts w:hint="eastAsia" w:ascii="楷体_GB2312" w:hAnsi="宋体" w:eastAsia="楷体_GB2312"/>
          <w:b/>
        </w:rPr>
        <w:t>（五）汇总分析</w:t>
      </w:r>
    </w:p>
    <w:p>
      <w:pPr>
        <w:spacing w:line="360" w:lineRule="auto"/>
        <w:ind w:firstLine="420" w:firstLineChars="200"/>
      </w:pPr>
      <w:r>
        <w:rPr>
          <w:rFonts w:hint="eastAsia"/>
        </w:rPr>
        <w:t>操作方法同省级管理员。</w:t>
      </w:r>
    </w:p>
    <w:p/>
    <w:p/>
    <w:p/>
    <w:sectPr>
      <w:pgSz w:w="11906" w:h="16838"/>
      <w:pgMar w:top="1440" w:right="1797" w:bottom="1440" w:left="179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SongStd-Light">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
                          </w:pPr>
                          <w:r>
                            <w:fldChar w:fldCharType="begin"/>
                          </w:r>
                          <w:r>
                            <w:instrText xml:space="preserve"> PAGE  \* MERGEFORMAT </w:instrText>
                          </w:r>
                          <w:r>
                            <w:fldChar w:fldCharType="separate"/>
                          </w:r>
                          <w:r>
                            <w:t>- 30 -</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2Sy3IzwEAAKkDAAAOAAAAAAAAAAEAIAAAAB4BAABkcnMv&#10;ZTJvRG9jLnhtbFBLBQYAAAAABgAGAFkBAABf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- 30 -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AAA"/>
    <w:rsid w:val="00070888"/>
    <w:rsid w:val="002D01CA"/>
    <w:rsid w:val="00C11AAA"/>
    <w:rsid w:val="030E23A6"/>
    <w:rsid w:val="18A97585"/>
    <w:rsid w:val="7FFBB4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semiHidden/>
    <w:qFormat/>
    <w:uiPriority w:val="0"/>
    <w:rPr>
      <w:rFonts w:cs="Times New Roman"/>
      <w:color w:val="0000FF"/>
      <w:u w:val="single"/>
    </w:rPr>
  </w:style>
  <w:style w:type="paragraph" w:customStyle="1" w:styleId="8">
    <w:name w:val="custom_unionsty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
    <w:name w:val="列出段落1"/>
    <w:basedOn w:val="1"/>
    <w:qFormat/>
    <w:uiPriority w:val="0"/>
    <w:pPr>
      <w:ind w:firstLine="420" w:firstLineChars="200"/>
    </w:pPr>
  </w:style>
  <w:style w:type="character" w:customStyle="1" w:styleId="10">
    <w:name w:val="页眉 Char"/>
    <w:basedOn w:val="6"/>
    <w:link w:val="4"/>
    <w:qFormat/>
    <w:uiPriority w:val="0"/>
    <w:rPr>
      <w:rFonts w:ascii="Calibri" w:hAnsi="Calibri" w:eastAsia="宋体" w:cs="Times New Roman"/>
      <w:kern w:val="2"/>
      <w:sz w:val="18"/>
      <w:szCs w:val="18"/>
    </w:rPr>
  </w:style>
  <w:style w:type="character" w:customStyle="1" w:styleId="11">
    <w:name w:val="批注框文本 Char"/>
    <w:basedOn w:val="6"/>
    <w:link w:val="2"/>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2122</Words>
  <Characters>12100</Characters>
  <Lines>100</Lines>
  <Paragraphs>28</Paragraphs>
  <TotalTime>0</TotalTime>
  <ScaleCrop>false</ScaleCrop>
  <LinksUpToDate>false</LinksUpToDate>
  <CharactersWithSpaces>14194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2021-10-22T10:09:00Z</dcterms:created>
  <dc:creator>lenovo</dc:creator>
  <cp:lastModifiedBy>晴天'</cp:lastModifiedBy>
  <dcterms:modified xsi:type="dcterms:W3CDTF">2021-10-30T07:57:42Z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7178B406066A40FCA2CB4F15820B63CB</vt:lpwstr>
  </property>
</Properties>
</file>